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  <w:sz w:val="32"/>
        </w:rPr>
      </w:pP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  <w:sz w:val="32"/>
        </w:rPr>
      </w:pP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  <w:sz w:val="32"/>
        </w:rPr>
      </w:pP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  <w:sz w:val="32"/>
        </w:rPr>
      </w:pPr>
    </w:p>
    <w:p w:rsidR="00BE120C" w:rsidRDefault="00DD1E86">
      <w:pPr>
        <w:pStyle w:val="Heading6"/>
        <w:rPr>
          <w:rFonts w:cs="Arial"/>
          <w:sz w:val="52"/>
        </w:rPr>
      </w:pPr>
      <w:r>
        <w:rPr>
          <w:rFonts w:cs="Arial"/>
          <w:sz w:val="52"/>
        </w:rPr>
        <w:t>[FULL CLIENT NAME ALL CAPS]</w:t>
      </w: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  <w:sz w:val="32"/>
        </w:rPr>
      </w:pPr>
    </w:p>
    <w:p w:rsidR="00BE120C" w:rsidRDefault="00DD1E86">
      <w:pPr>
        <w:jc w:val="center"/>
        <w:rPr>
          <w:rFonts w:cs="Arial"/>
          <w:b/>
          <w:sz w:val="52"/>
          <w:szCs w:val="40"/>
        </w:rPr>
      </w:pPr>
      <w:r>
        <w:rPr>
          <w:rFonts w:cs="Arial"/>
          <w:b/>
          <w:sz w:val="52"/>
          <w:szCs w:val="40"/>
        </w:rPr>
        <w:t>[Quality Manual Doc Title]</w:t>
      </w:r>
    </w:p>
    <w:p w:rsidR="003B3847" w:rsidRDefault="00DD1E86">
      <w:pPr>
        <w:jc w:val="center"/>
      </w:pPr>
      <w:r>
        <w:t xml:space="preserve">Revision [Rev Number] </w:t>
      </w:r>
    </w:p>
    <w:p w:rsidR="00BE120C" w:rsidRDefault="00DD1E86">
      <w:pPr>
        <w:jc w:val="center"/>
      </w:pPr>
      <w:r>
        <w:t>[Date of Issue]</w:t>
      </w: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  <w:sz w:val="32"/>
        </w:rPr>
      </w:pPr>
    </w:p>
    <w:p w:rsidR="00BE120C" w:rsidRDefault="004E2CE9">
      <w:pPr>
        <w:widowControl w:val="0"/>
        <w:tabs>
          <w:tab w:val="right" w:leader="dot" w:pos="9504"/>
        </w:tabs>
        <w:jc w:val="center"/>
        <w:rPr>
          <w:rFonts w:cs="Arial"/>
          <w:sz w:val="32"/>
        </w:rPr>
      </w:pPr>
      <w:r>
        <w:rPr>
          <w:rFonts w:cs="Arial"/>
          <w:sz w:val="32"/>
        </w:rPr>
        <w:t>Conforms to</w:t>
      </w:r>
      <w:r w:rsidR="00DD1E86">
        <w:rPr>
          <w:rFonts w:cs="Arial"/>
          <w:sz w:val="32"/>
        </w:rPr>
        <w:t xml:space="preserve"> </w:t>
      </w:r>
      <w:r w:rsidR="00147B61">
        <w:rPr>
          <w:rFonts w:cs="Arial"/>
          <w:sz w:val="32"/>
        </w:rPr>
        <w:t>ISO 9001:20</w:t>
      </w:r>
      <w:r>
        <w:rPr>
          <w:rFonts w:cs="Arial"/>
          <w:sz w:val="32"/>
        </w:rPr>
        <w:t>15</w:t>
      </w: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  <w:i/>
          <w:sz w:val="24"/>
          <w:szCs w:val="24"/>
        </w:rPr>
      </w:pPr>
    </w:p>
    <w:p w:rsidR="00BE120C" w:rsidRDefault="00DD1E86">
      <w:pPr>
        <w:widowControl w:val="0"/>
        <w:tabs>
          <w:tab w:val="right" w:leader="dot" w:pos="9504"/>
        </w:tabs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(c) [Copyright Year] [Full Client Name </w:t>
      </w:r>
      <w:proofErr w:type="spellStart"/>
      <w:r>
        <w:rPr>
          <w:rFonts w:cs="Arial"/>
          <w:sz w:val="18"/>
          <w:szCs w:val="18"/>
        </w:rPr>
        <w:t>Reg</w:t>
      </w:r>
      <w:proofErr w:type="spellEnd"/>
      <w:r>
        <w:rPr>
          <w:rFonts w:cs="Arial"/>
          <w:sz w:val="18"/>
          <w:szCs w:val="18"/>
        </w:rPr>
        <w:t xml:space="preserve"> Caps]; all rights reserved. This document may contain proprietary information and may only be released to third parties with approval of management. Document is uncontrolled unless otherwise marked; uncontrolled documents are not subject to update notification.</w:t>
      </w: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</w:rPr>
      </w:pP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</w:rPr>
      </w:pP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</w:rPr>
      </w:pP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</w:rPr>
      </w:pP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</w:rPr>
      </w:pP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</w:rPr>
      </w:pPr>
    </w:p>
    <w:p w:rsidR="00BE120C" w:rsidRDefault="00BE120C">
      <w:pPr>
        <w:widowControl w:val="0"/>
        <w:tabs>
          <w:tab w:val="right" w:leader="dot" w:pos="9504"/>
        </w:tabs>
        <w:jc w:val="center"/>
        <w:rPr>
          <w:rFonts w:cs="Arial"/>
        </w:rPr>
      </w:pPr>
    </w:p>
    <w:p w:rsidR="00BE120C" w:rsidRDefault="00BE120C">
      <w:pPr>
        <w:tabs>
          <w:tab w:val="left" w:pos="-1440"/>
        </w:tabs>
        <w:rPr>
          <w:rFonts w:cs="Arial"/>
        </w:rPr>
      </w:pPr>
    </w:p>
    <w:p w:rsidR="00BE120C" w:rsidRDefault="00BE120C">
      <w:pPr>
        <w:tabs>
          <w:tab w:val="left" w:pos="-1440"/>
        </w:tabs>
        <w:rPr>
          <w:rFonts w:cs="Arial"/>
        </w:rPr>
      </w:pPr>
    </w:p>
    <w:p w:rsidR="00BE120C" w:rsidRDefault="00BE120C">
      <w:pPr>
        <w:widowControl w:val="0"/>
        <w:tabs>
          <w:tab w:val="right" w:leader="dot" w:pos="9504"/>
        </w:tabs>
        <w:rPr>
          <w:rFonts w:cs="Arial"/>
          <w:b/>
        </w:rPr>
      </w:pPr>
    </w:p>
    <w:p w:rsidR="00BE120C" w:rsidRDefault="00BE120C">
      <w:pPr>
        <w:widowControl w:val="0"/>
        <w:tabs>
          <w:tab w:val="right" w:leader="dot" w:pos="9990"/>
        </w:tabs>
        <w:jc w:val="center"/>
        <w:rPr>
          <w:rFonts w:cs="Arial"/>
          <w:b/>
        </w:rPr>
        <w:sectPr w:rsidR="00BE120C">
          <w:headerReference w:type="default" r:id="rId8"/>
          <w:footerReference w:type="default" r:id="rId9"/>
          <w:type w:val="oddPage"/>
          <w:pgSz w:w="12240" w:h="15840" w:code="1"/>
          <w:pgMar w:top="1440" w:right="810" w:bottom="1440" w:left="1440" w:header="720" w:footer="720" w:gutter="0"/>
          <w:pgNumType w:start="0"/>
          <w:cols w:space="720"/>
          <w:titlePg/>
          <w:docGrid w:linePitch="360"/>
        </w:sectPr>
      </w:pPr>
    </w:p>
    <w:p w:rsidR="00BE120C" w:rsidRDefault="00DD1E86" w:rsidP="003B3847">
      <w:pPr>
        <w:pStyle w:val="OxebridgeCHeader1"/>
      </w:pPr>
      <w:bookmarkStart w:id="0" w:name="_Toc457383554"/>
      <w:r>
        <w:lastRenderedPageBreak/>
        <w:t>Revision History and Approval</w:t>
      </w:r>
      <w:bookmarkEnd w:id="0"/>
    </w:p>
    <w:p w:rsidR="00BE120C" w:rsidRDefault="00BE120C"/>
    <w:tbl>
      <w:tblPr>
        <w:tblW w:w="9720" w:type="dxa"/>
        <w:tblInd w:w="122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1260"/>
        <w:gridCol w:w="5310"/>
        <w:gridCol w:w="1350"/>
        <w:gridCol w:w="1800"/>
      </w:tblGrid>
      <w:tr w:rsidR="00BE120C" w:rsidTr="004E2CE9">
        <w:trPr>
          <w:trHeight w:val="432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BFBFBF" w:themeFill="background1" w:themeFillShade="BF"/>
            <w:vAlign w:val="center"/>
          </w:tcPr>
          <w:p w:rsidR="00BE120C" w:rsidRPr="004E2CE9" w:rsidRDefault="00DD1E86" w:rsidP="004E2CE9">
            <w:pPr>
              <w:pStyle w:val="AS9100CTableText"/>
              <w:spacing w:after="0"/>
              <w:jc w:val="center"/>
              <w:rPr>
                <w:b/>
                <w:sz w:val="22"/>
                <w:szCs w:val="22"/>
              </w:rPr>
            </w:pPr>
            <w:r w:rsidRPr="004E2CE9">
              <w:rPr>
                <w:b/>
                <w:sz w:val="22"/>
                <w:szCs w:val="22"/>
              </w:rPr>
              <w:t>Rev.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BFBFBF" w:themeFill="background1" w:themeFillShade="BF"/>
            <w:vAlign w:val="center"/>
          </w:tcPr>
          <w:p w:rsidR="00BE120C" w:rsidRPr="004E2CE9" w:rsidRDefault="00DD1E86" w:rsidP="004E2CE9">
            <w:pPr>
              <w:pStyle w:val="AS9100CTableText"/>
              <w:spacing w:after="0"/>
              <w:jc w:val="center"/>
              <w:rPr>
                <w:b/>
                <w:sz w:val="22"/>
                <w:szCs w:val="22"/>
              </w:rPr>
            </w:pPr>
            <w:r w:rsidRPr="004E2CE9">
              <w:rPr>
                <w:b/>
                <w:sz w:val="22"/>
                <w:szCs w:val="22"/>
              </w:rPr>
              <w:t>Nature of changes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BE120C" w:rsidRPr="004E2CE9" w:rsidRDefault="00DD1E86" w:rsidP="004E2CE9">
            <w:pPr>
              <w:pStyle w:val="AS9100CTableText"/>
              <w:spacing w:after="0"/>
              <w:jc w:val="center"/>
              <w:rPr>
                <w:b/>
                <w:sz w:val="22"/>
                <w:szCs w:val="22"/>
              </w:rPr>
            </w:pPr>
            <w:r w:rsidRPr="004E2CE9">
              <w:rPr>
                <w:b/>
                <w:sz w:val="22"/>
                <w:szCs w:val="22"/>
              </w:rPr>
              <w:t>Approval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BE120C" w:rsidRPr="004E2CE9" w:rsidRDefault="00DD1E86" w:rsidP="004E2CE9">
            <w:pPr>
              <w:pStyle w:val="AS9100CTableText"/>
              <w:spacing w:after="0"/>
              <w:jc w:val="center"/>
              <w:rPr>
                <w:b/>
                <w:sz w:val="22"/>
                <w:szCs w:val="22"/>
              </w:rPr>
            </w:pPr>
            <w:r w:rsidRPr="004E2CE9">
              <w:rPr>
                <w:b/>
                <w:sz w:val="22"/>
                <w:szCs w:val="22"/>
              </w:rPr>
              <w:t>Date</w:t>
            </w:r>
          </w:p>
        </w:tc>
      </w:tr>
      <w:tr w:rsidR="00BE120C">
        <w:trPr>
          <w:trHeight w:val="432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BE120C" w:rsidRDefault="00DD1E86">
            <w:pPr>
              <w:pStyle w:val="AS9100CTableText"/>
              <w:jc w:val="center"/>
            </w:pPr>
            <w:r>
              <w:t>[Rev Number]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BE120C" w:rsidRDefault="00DD1E86">
            <w:pPr>
              <w:pStyle w:val="AS9100CTableText"/>
            </w:pPr>
            <w:r>
              <w:t>Original release.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BE120C" w:rsidRDefault="00DD1E86">
            <w:pPr>
              <w:pStyle w:val="AS9100CTableText"/>
              <w:jc w:val="center"/>
            </w:pPr>
            <w:r>
              <w:t>[Quality Manual Approver Name]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BE120C" w:rsidRDefault="00DD1E86">
            <w:pPr>
              <w:pStyle w:val="AS9100CTableText"/>
              <w:jc w:val="center"/>
            </w:pPr>
            <w:r>
              <w:t>[Date of Issue]</w:t>
            </w:r>
          </w:p>
        </w:tc>
      </w:tr>
      <w:tr w:rsidR="00BE120C">
        <w:trPr>
          <w:trHeight w:val="432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BE120C" w:rsidRDefault="00BE120C">
            <w:pPr>
              <w:pStyle w:val="AS9100CTableText"/>
              <w:jc w:val="center"/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BE120C" w:rsidRDefault="00BE120C">
            <w:pPr>
              <w:pStyle w:val="AS9100CTableTex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BE120C" w:rsidRDefault="00BE120C">
            <w:pPr>
              <w:pStyle w:val="AS9100CTableText"/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BE120C" w:rsidRDefault="00BE120C">
            <w:pPr>
              <w:pStyle w:val="AS9100CTableText"/>
              <w:jc w:val="center"/>
            </w:pPr>
          </w:p>
        </w:tc>
      </w:tr>
      <w:tr w:rsidR="00BE120C">
        <w:trPr>
          <w:trHeight w:val="432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BE120C" w:rsidRDefault="00BE120C">
            <w:pPr>
              <w:pStyle w:val="AS9100CTableText"/>
              <w:jc w:val="center"/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BE120C" w:rsidRDefault="00BE120C">
            <w:pPr>
              <w:pStyle w:val="AS9100CTableTex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BE120C" w:rsidRDefault="00BE120C">
            <w:pPr>
              <w:pStyle w:val="AS9100CTableText"/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BE120C" w:rsidRDefault="00BE120C">
            <w:pPr>
              <w:pStyle w:val="AS9100CTableText"/>
              <w:jc w:val="center"/>
            </w:pPr>
          </w:p>
        </w:tc>
      </w:tr>
      <w:tr w:rsidR="00BE120C">
        <w:trPr>
          <w:trHeight w:val="432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BE120C" w:rsidRDefault="00BE120C">
            <w:pPr>
              <w:pStyle w:val="AS9100CTableText"/>
              <w:jc w:val="center"/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BE120C" w:rsidRDefault="00BE120C">
            <w:pPr>
              <w:pStyle w:val="AS9100CTableTex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20C" w:rsidRDefault="00BE120C">
            <w:pPr>
              <w:pStyle w:val="AS9100CTableText"/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20C" w:rsidRDefault="00BE120C">
            <w:pPr>
              <w:pStyle w:val="AS9100CTableText"/>
              <w:jc w:val="center"/>
            </w:pPr>
          </w:p>
        </w:tc>
      </w:tr>
    </w:tbl>
    <w:p w:rsidR="00F47C91" w:rsidRDefault="00F47C91">
      <w:pPr>
        <w:spacing w:after="0"/>
        <w:jc w:val="left"/>
      </w:pPr>
    </w:p>
    <w:p w:rsidR="003B3847" w:rsidRDefault="003B3847">
      <w:pPr>
        <w:spacing w:after="0"/>
        <w:jc w:val="left"/>
      </w:pPr>
    </w:p>
    <w:p w:rsidR="004E2CE9" w:rsidRPr="004E2CE9" w:rsidRDefault="00DD1E86" w:rsidP="003B3847">
      <w:pPr>
        <w:pStyle w:val="OxebridgeCHeader1"/>
      </w:pPr>
      <w:bookmarkStart w:id="1" w:name="_Toc457383555"/>
      <w:r>
        <w:t xml:space="preserve">Welcome to [Full Client Name </w:t>
      </w:r>
      <w:proofErr w:type="spellStart"/>
      <w:r>
        <w:t>Reg</w:t>
      </w:r>
      <w:proofErr w:type="spellEnd"/>
      <w:r>
        <w:t xml:space="preserve"> </w:t>
      </w:r>
      <w:r w:rsidRPr="003B3847">
        <w:t>Caps</w:t>
      </w:r>
      <w:r>
        <w:t>]</w:t>
      </w:r>
      <w:bookmarkEnd w:id="1"/>
    </w:p>
    <w:p w:rsidR="00BE120C" w:rsidRPr="00FD4B2D" w:rsidRDefault="00DD1E86">
      <w:pPr>
        <w:rPr>
          <w:highlight w:val="yellow"/>
        </w:rPr>
      </w:pPr>
      <w:r w:rsidRPr="00FD4B2D">
        <w:rPr>
          <w:highlight w:val="yellow"/>
        </w:rPr>
        <w:t>Add welcome language here</w:t>
      </w:r>
      <w:r w:rsidR="004E2CE9" w:rsidRPr="00FD4B2D">
        <w:rPr>
          <w:highlight w:val="yellow"/>
        </w:rPr>
        <w:t>. This is the first thing a reader will see, so it’s a good idea to add basic information about the company. If the intended audience includes customers, you can add marketing language here, too</w:t>
      </w:r>
      <w:r w:rsidRPr="00FD4B2D">
        <w:rPr>
          <w:highlight w:val="yellow"/>
        </w:rPr>
        <w:t>.</w:t>
      </w:r>
      <w:r w:rsidR="00FD4B2D" w:rsidRPr="00FD4B2D">
        <w:rPr>
          <w:highlight w:val="yellow"/>
        </w:rPr>
        <w:t xml:space="preserve"> </w:t>
      </w:r>
    </w:p>
    <w:p w:rsidR="00FD4B2D" w:rsidRDefault="00FD4B2D">
      <w:r w:rsidRPr="00FD4B2D">
        <w:rPr>
          <w:highlight w:val="yellow"/>
        </w:rPr>
        <w:t>Adding some photos of the facility or staff is a nice touch here, as well.</w:t>
      </w:r>
    </w:p>
    <w:p w:rsidR="003B3847" w:rsidRDefault="003B3847"/>
    <w:p w:rsidR="003B3847" w:rsidRDefault="003B3847" w:rsidP="003B3847">
      <w:pPr>
        <w:pStyle w:val="OxebridgeCHeader1"/>
      </w:pPr>
      <w:bookmarkStart w:id="2" w:name="_Toc457383556"/>
      <w:r>
        <w:t>Quality Policy</w:t>
      </w:r>
      <w:bookmarkEnd w:id="2"/>
    </w:p>
    <w:p w:rsidR="003B3847" w:rsidRDefault="003B3847" w:rsidP="003B3847">
      <w:r>
        <w:t>[Senior Management Team Name] has developed the</w:t>
      </w:r>
      <w:r w:rsidR="008F3011">
        <w:t xml:space="preserve"> following</w:t>
      </w:r>
      <w:r>
        <w:t xml:space="preserve"> Quality Policy</w:t>
      </w:r>
      <w:r w:rsidR="008F3011">
        <w:t xml:space="preserve"> which </w:t>
      </w:r>
      <w:r>
        <w:t xml:space="preserve">governs day-to-day operations to ensure quality. The Quality Policy is </w:t>
      </w:r>
      <w:r w:rsidR="008F3011">
        <w:t>c</w:t>
      </w:r>
      <w:r>
        <w:t>ommunicated and implemented throughout the organization.</w:t>
      </w:r>
    </w:p>
    <w:p w:rsidR="003B3847" w:rsidRPr="00D06A43" w:rsidRDefault="003B3847" w:rsidP="003B3847">
      <w:r w:rsidRPr="00D06A43">
        <w:t>The Quality Policy of [Short Client Name] is as follows:</w:t>
      </w:r>
    </w:p>
    <w:p w:rsidR="003B3847" w:rsidRPr="00D06A43" w:rsidRDefault="003B3847" w:rsidP="003B3847"/>
    <w:p w:rsidR="003B3847" w:rsidRDefault="003B3847" w:rsidP="003B3847">
      <w:pPr>
        <w:jc w:val="center"/>
        <w:rPr>
          <w:b/>
        </w:rPr>
      </w:pPr>
      <w:r w:rsidRPr="00D06A43">
        <w:rPr>
          <w:b/>
          <w:highlight w:val="yellow"/>
        </w:rPr>
        <w:t>Add Quality Policy here.</w:t>
      </w:r>
    </w:p>
    <w:p w:rsidR="003B3847" w:rsidRPr="003B3847" w:rsidRDefault="003B3847" w:rsidP="003B3847">
      <w:pPr>
        <w:jc w:val="center"/>
        <w:rPr>
          <w:b/>
        </w:rPr>
      </w:pPr>
    </w:p>
    <w:p w:rsidR="00D06A43" w:rsidRDefault="00D06A43" w:rsidP="003B3847">
      <w:pPr>
        <w:pStyle w:val="OxebridgeCHeader1"/>
      </w:pPr>
      <w:bookmarkStart w:id="3" w:name="_Toc457383557"/>
      <w:r>
        <w:t xml:space="preserve">Context of the </w:t>
      </w:r>
      <w:r w:rsidR="003B3847">
        <w:t xml:space="preserve">[Short Client Name] </w:t>
      </w:r>
      <w:r>
        <w:t>Organization</w:t>
      </w:r>
      <w:bookmarkEnd w:id="3"/>
    </w:p>
    <w:p w:rsidR="00D06A43" w:rsidRDefault="00D06A43" w:rsidP="00D06A43">
      <w:r w:rsidRPr="00D06A43">
        <w:t xml:space="preserve">[Short Client Name] has reviewed and analyzed key aspects of itself and its stakeholders to determine the strategic direction of the company. </w:t>
      </w:r>
      <w:r>
        <w:t xml:space="preserve">This </w:t>
      </w:r>
      <w:r w:rsidRPr="00D06A43">
        <w:t xml:space="preserve">requires understanding internal and external issues that are of concern to [Short Client Name] and its interested parties; </w:t>
      </w:r>
      <w:r>
        <w:t>the interested parties are identi</w:t>
      </w:r>
      <w:r w:rsidRPr="00D06A43">
        <w:t xml:space="preserve">fied </w:t>
      </w:r>
      <w:r>
        <w:t>per</w:t>
      </w:r>
      <w:r w:rsidRPr="00D06A43">
        <w:t xml:space="preserve"> the document </w:t>
      </w:r>
      <w:r w:rsidRPr="00D06A43">
        <w:rPr>
          <w:b/>
          <w:i/>
        </w:rPr>
        <w:t>[Context of the Org Proc. Title].</w:t>
      </w:r>
      <w:r w:rsidRPr="00D06A43">
        <w:t xml:space="preserve"> </w:t>
      </w:r>
    </w:p>
    <w:p w:rsidR="00D06A43" w:rsidRDefault="00D06A43" w:rsidP="00D06A43">
      <w:r w:rsidRPr="00D06A43">
        <w:t>Such issues are monitored and updated as appropriate, and discussed as part of management reviews.</w:t>
      </w:r>
    </w:p>
    <w:p w:rsidR="00D06A43" w:rsidRDefault="00D06A43" w:rsidP="00D06A43">
      <w:r>
        <w:t xml:space="preserve">The </w:t>
      </w:r>
      <w:r w:rsidRPr="00D06A43">
        <w:t xml:space="preserve">issues </w:t>
      </w:r>
      <w:r>
        <w:t xml:space="preserve">determined above </w:t>
      </w:r>
      <w:r w:rsidRPr="00D06A43">
        <w:t xml:space="preserve">are identified through an analysis of risks facing [Short Client Name] </w:t>
      </w:r>
      <w:r>
        <w:t>and</w:t>
      </w:r>
      <w:r w:rsidRPr="00D06A43">
        <w:t xml:space="preserve"> </w:t>
      </w:r>
      <w:r>
        <w:t>its</w:t>
      </w:r>
      <w:r w:rsidRPr="00D06A43">
        <w:t xml:space="preserve"> interested parties. </w:t>
      </w:r>
      <w:r>
        <w:t>“I</w:t>
      </w:r>
      <w:r w:rsidRPr="00D06A43">
        <w:t xml:space="preserve">nterested parties” </w:t>
      </w:r>
      <w:r>
        <w:t>are those stakeholders</w:t>
      </w:r>
      <w:r w:rsidRPr="00D06A43">
        <w:t xml:space="preserve"> who receive our [Products or Services </w:t>
      </w:r>
      <w:proofErr w:type="spellStart"/>
      <w:r w:rsidRPr="00D06A43">
        <w:t>Plur</w:t>
      </w:r>
      <w:proofErr w:type="spellEnd"/>
      <w:r w:rsidRPr="00D06A43">
        <w:t xml:space="preserve">.], or who may be impacted by them, or those parties who may otherwise have a significant interest in our company. These parties are identified per the document </w:t>
      </w:r>
      <w:r w:rsidRPr="00D06A43">
        <w:rPr>
          <w:b/>
          <w:i/>
        </w:rPr>
        <w:t>[Context of the Org Proc. Title].</w:t>
      </w:r>
    </w:p>
    <w:p w:rsidR="00D06A43" w:rsidRDefault="00D06A43" w:rsidP="00D06A43">
      <w:r w:rsidRPr="00D06A43">
        <w:lastRenderedPageBreak/>
        <w:t xml:space="preserve">This information is then used by senior management to determine the company’s strategic direction. This is defined in records of management review, and periodically updated as conditions and situations change. </w:t>
      </w:r>
    </w:p>
    <w:p w:rsidR="003B3847" w:rsidRPr="00D06A43" w:rsidRDefault="003B3847" w:rsidP="00D06A43"/>
    <w:p w:rsidR="00D06A43" w:rsidRDefault="00D06A43" w:rsidP="003B3847">
      <w:pPr>
        <w:pStyle w:val="OxebridgeCHeader1"/>
      </w:pPr>
      <w:bookmarkStart w:id="4" w:name="_Toc457383558"/>
      <w:r>
        <w:t xml:space="preserve">Scope of the </w:t>
      </w:r>
      <w:r w:rsidR="003B3847">
        <w:t xml:space="preserve">[Short Client Name] </w:t>
      </w:r>
      <w:r>
        <w:t>Quality Management System</w:t>
      </w:r>
      <w:bookmarkEnd w:id="4"/>
    </w:p>
    <w:p w:rsidR="00D06A43" w:rsidRDefault="00D06A43" w:rsidP="00D06A43">
      <w:pPr>
        <w:rPr>
          <w:rFonts w:cs="Arial"/>
        </w:rPr>
      </w:pPr>
      <w:r>
        <w:rPr>
          <w:rFonts w:cs="Arial"/>
        </w:rPr>
        <w:t>Based on an analysis of the above issues of concern, interests of stakeholders, and in consideration of its products and services, [Short Client Name] has determined the scope of the management system as follows:</w:t>
      </w:r>
    </w:p>
    <w:p w:rsidR="00D06A43" w:rsidRPr="004E2CE9" w:rsidRDefault="00D06A43" w:rsidP="00D06A43">
      <w:pPr>
        <w:jc w:val="center"/>
        <w:rPr>
          <w:rFonts w:cs="Arial"/>
          <w:b/>
        </w:rPr>
      </w:pPr>
      <w:r>
        <w:rPr>
          <w:rFonts w:cs="Arial"/>
          <w:b/>
          <w:highlight w:val="yellow"/>
        </w:rPr>
        <w:t>Add scope statement here. The scope statement must include a description of your products and/or services. This is what will appear on any resulting ISO 9001 certificate; you may consult with your certification body for assistance.</w:t>
      </w:r>
    </w:p>
    <w:p w:rsidR="00D06A43" w:rsidRDefault="00D06A43" w:rsidP="00D06A43">
      <w:pPr>
        <w:rPr>
          <w:rFonts w:cs="Arial"/>
          <w:highlight w:val="yellow"/>
        </w:rPr>
      </w:pPr>
      <w:r>
        <w:rPr>
          <w:rFonts w:cs="Arial"/>
          <w:highlight w:val="yellow"/>
        </w:rPr>
        <w:t xml:space="preserve"> (If more than one site)</w:t>
      </w:r>
    </w:p>
    <w:p w:rsidR="00D06A43" w:rsidRDefault="00D06A43" w:rsidP="00D06A43">
      <w:pPr>
        <w:rPr>
          <w:rFonts w:cs="Arial"/>
        </w:rPr>
      </w:pPr>
      <w:r>
        <w:rPr>
          <w:rFonts w:cs="Arial"/>
        </w:rPr>
        <w:t>The quality system applies to all processes, activities, and employees of the following locations within the company:</w:t>
      </w:r>
    </w:p>
    <w:p w:rsidR="00D06A43" w:rsidRDefault="00D06A43" w:rsidP="00D06A43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1"/>
        <w:gridCol w:w="4979"/>
      </w:tblGrid>
      <w:tr w:rsidR="00D06A43" w:rsidTr="007A5B6B">
        <w:trPr>
          <w:trHeight w:val="288"/>
        </w:trPr>
        <w:tc>
          <w:tcPr>
            <w:tcW w:w="5103" w:type="dxa"/>
            <w:shd w:val="clear" w:color="auto" w:fill="auto"/>
          </w:tcPr>
          <w:p w:rsidR="00D06A43" w:rsidRDefault="00D06A43" w:rsidP="007A5B6B">
            <w:pPr>
              <w:pStyle w:val="AS9100CTableText"/>
              <w:spacing w:after="0"/>
              <w:jc w:val="center"/>
            </w:pPr>
            <w:r>
              <w:t>[Street Address]</w:t>
            </w:r>
          </w:p>
          <w:p w:rsidR="00D06A43" w:rsidRDefault="00D06A43" w:rsidP="007A5B6B">
            <w:pPr>
              <w:pStyle w:val="AS9100CTableText"/>
              <w:spacing w:after="0"/>
              <w:jc w:val="center"/>
            </w:pPr>
            <w:r>
              <w:t>[City] [STATEABBREV] [Zip]</w:t>
            </w:r>
          </w:p>
          <w:p w:rsidR="00D06A43" w:rsidRDefault="00D06A43" w:rsidP="007A5B6B">
            <w:pPr>
              <w:pStyle w:val="AS9100CTableText"/>
              <w:spacing w:after="0"/>
              <w:jc w:val="center"/>
            </w:pPr>
            <w:r>
              <w:t>[Phone]</w:t>
            </w:r>
          </w:p>
        </w:tc>
        <w:tc>
          <w:tcPr>
            <w:tcW w:w="5103" w:type="dxa"/>
            <w:shd w:val="clear" w:color="auto" w:fill="auto"/>
          </w:tcPr>
          <w:p w:rsidR="00D06A43" w:rsidRDefault="00D06A43" w:rsidP="007A5B6B">
            <w:pPr>
              <w:pStyle w:val="AS9100CTableText"/>
              <w:spacing w:after="0"/>
              <w:jc w:val="center"/>
            </w:pPr>
            <w:r w:rsidRPr="004E2CE9">
              <w:rPr>
                <w:highlight w:val="yellow"/>
              </w:rPr>
              <w:t>Site 2 Address</w:t>
            </w:r>
          </w:p>
        </w:tc>
      </w:tr>
      <w:tr w:rsidR="00D06A43" w:rsidTr="007A5B6B">
        <w:trPr>
          <w:trHeight w:val="288"/>
        </w:trPr>
        <w:tc>
          <w:tcPr>
            <w:tcW w:w="5103" w:type="dxa"/>
            <w:shd w:val="clear" w:color="auto" w:fill="auto"/>
          </w:tcPr>
          <w:p w:rsidR="00D06A43" w:rsidRDefault="00D06A43" w:rsidP="007A5B6B">
            <w:pPr>
              <w:pStyle w:val="AS9100CTableText"/>
              <w:spacing w:after="0"/>
              <w:jc w:val="center"/>
            </w:pPr>
            <w:r w:rsidRPr="004E2CE9">
              <w:rPr>
                <w:highlight w:val="yellow"/>
              </w:rPr>
              <w:t>Site 3 Address</w:t>
            </w:r>
          </w:p>
        </w:tc>
        <w:tc>
          <w:tcPr>
            <w:tcW w:w="5103" w:type="dxa"/>
            <w:shd w:val="clear" w:color="auto" w:fill="auto"/>
          </w:tcPr>
          <w:p w:rsidR="00D06A43" w:rsidRDefault="00D06A43" w:rsidP="007A5B6B">
            <w:pPr>
              <w:pStyle w:val="AS9100CTableText"/>
              <w:spacing w:after="0"/>
              <w:jc w:val="center"/>
            </w:pPr>
            <w:r w:rsidRPr="004E2CE9">
              <w:rPr>
                <w:highlight w:val="yellow"/>
              </w:rPr>
              <w:t>Site 4 Address</w:t>
            </w:r>
          </w:p>
        </w:tc>
      </w:tr>
    </w:tbl>
    <w:p w:rsidR="00D06A43" w:rsidRDefault="00D06A43" w:rsidP="00D06A43">
      <w:pPr>
        <w:rPr>
          <w:rFonts w:cs="Arial"/>
        </w:rPr>
      </w:pPr>
    </w:p>
    <w:p w:rsidR="00D06A43" w:rsidRDefault="00D06A43" w:rsidP="00D06A43">
      <w:pPr>
        <w:rPr>
          <w:rFonts w:cs="Arial"/>
          <w:highlight w:val="yellow"/>
        </w:rPr>
      </w:pPr>
      <w:r>
        <w:rPr>
          <w:rFonts w:cs="Arial"/>
          <w:highlight w:val="yellow"/>
        </w:rPr>
        <w:t>(If single site)</w:t>
      </w:r>
    </w:p>
    <w:p w:rsidR="00D06A43" w:rsidRDefault="00D06A43" w:rsidP="00D06A43">
      <w:pPr>
        <w:rPr>
          <w:rFonts w:cs="Arial"/>
        </w:rPr>
      </w:pPr>
      <w:r>
        <w:rPr>
          <w:rFonts w:cs="Arial"/>
        </w:rPr>
        <w:t>The quality system applies to all processes, activities and employees within the company. The facility is located at:</w:t>
      </w:r>
    </w:p>
    <w:p w:rsidR="00D06A43" w:rsidRDefault="00D06A43" w:rsidP="00D06A43">
      <w:pPr>
        <w:spacing w:after="0"/>
        <w:jc w:val="center"/>
        <w:rPr>
          <w:rFonts w:cs="Arial"/>
        </w:rPr>
      </w:pPr>
      <w:r>
        <w:rPr>
          <w:rFonts w:cs="Arial"/>
        </w:rPr>
        <w:t>[Street Address]</w:t>
      </w:r>
    </w:p>
    <w:p w:rsidR="00D06A43" w:rsidRDefault="00D06A43" w:rsidP="00D06A43">
      <w:pPr>
        <w:jc w:val="center"/>
        <w:rPr>
          <w:rFonts w:cs="Arial"/>
        </w:rPr>
      </w:pPr>
      <w:r>
        <w:rPr>
          <w:rFonts w:cs="Arial"/>
        </w:rPr>
        <w:t>[City] [STATEABBREV] [Zip]</w:t>
      </w:r>
    </w:p>
    <w:p w:rsidR="00D06A43" w:rsidRDefault="00D06A43" w:rsidP="00D06A43">
      <w:pPr>
        <w:spacing w:after="0"/>
        <w:jc w:val="center"/>
        <w:rPr>
          <w:rFonts w:cs="Arial"/>
        </w:rPr>
      </w:pPr>
      <w:r>
        <w:rPr>
          <w:rFonts w:cs="Arial"/>
        </w:rPr>
        <w:t>Phone: [Phone]</w:t>
      </w:r>
    </w:p>
    <w:p w:rsidR="00D06A43" w:rsidRDefault="00D06A43" w:rsidP="00D06A43">
      <w:pPr>
        <w:jc w:val="center"/>
        <w:rPr>
          <w:rFonts w:cs="Arial"/>
        </w:rPr>
      </w:pPr>
      <w:r>
        <w:rPr>
          <w:rFonts w:cs="Arial"/>
        </w:rPr>
        <w:t>Fax: [Fax]</w:t>
      </w:r>
    </w:p>
    <w:p w:rsidR="00D06A43" w:rsidRDefault="00D06A43" w:rsidP="00D06A43">
      <w:pPr>
        <w:jc w:val="center"/>
        <w:rPr>
          <w:rFonts w:cs="Arial"/>
        </w:rPr>
      </w:pPr>
      <w:r>
        <w:rPr>
          <w:rFonts w:cs="Arial"/>
        </w:rPr>
        <w:t>Web: [Website]</w:t>
      </w:r>
    </w:p>
    <w:p w:rsidR="00D06A43" w:rsidRDefault="00D06A43" w:rsidP="00D06A43">
      <w:pPr>
        <w:widowControl w:val="0"/>
        <w:rPr>
          <w:rFonts w:cs="Arial"/>
        </w:rPr>
      </w:pPr>
      <w:r>
        <w:rPr>
          <w:rFonts w:cs="Arial"/>
          <w:highlight w:val="yellow"/>
        </w:rPr>
        <w:t xml:space="preserve"> (If exclusions)</w:t>
      </w:r>
    </w:p>
    <w:p w:rsidR="00D06A43" w:rsidRDefault="00D06A43" w:rsidP="00D06A43">
      <w:pPr>
        <w:widowControl w:val="0"/>
        <w:rPr>
          <w:rFonts w:cs="Arial"/>
        </w:rPr>
      </w:pPr>
      <w:r>
        <w:rPr>
          <w:rFonts w:cs="Arial"/>
        </w:rPr>
        <w:t>The following clauses of ISO 9001 were determined to be not applicable to [Short Client Name].</w:t>
      </w:r>
    </w:p>
    <w:p w:rsidR="00D06A43" w:rsidRPr="004E2CE9" w:rsidRDefault="00D06A43" w:rsidP="00D06A43">
      <w:pPr>
        <w:pStyle w:val="OxebridgeBulletList"/>
        <w:rPr>
          <w:highlight w:val="yellow"/>
        </w:rPr>
      </w:pPr>
      <w:r w:rsidRPr="004E2CE9">
        <w:rPr>
          <w:highlight w:val="yellow"/>
        </w:rPr>
        <w:t>List clause exclusions and rationale for each here.</w:t>
      </w:r>
    </w:p>
    <w:p w:rsidR="00D06A43" w:rsidRDefault="00D06A43" w:rsidP="00D06A43">
      <w:pPr>
        <w:widowControl w:val="0"/>
        <w:rPr>
          <w:rFonts w:cs="Arial"/>
          <w:highlight w:val="yellow"/>
        </w:rPr>
      </w:pPr>
    </w:p>
    <w:p w:rsidR="00D06A43" w:rsidRDefault="00D06A43" w:rsidP="00D06A43">
      <w:pPr>
        <w:widowControl w:val="0"/>
        <w:rPr>
          <w:rFonts w:cs="Arial"/>
        </w:rPr>
      </w:pPr>
      <w:r>
        <w:rPr>
          <w:rFonts w:cs="Arial"/>
          <w:highlight w:val="yellow"/>
        </w:rPr>
        <w:t>(If no exclusions)</w:t>
      </w:r>
    </w:p>
    <w:p w:rsidR="00D06A43" w:rsidRDefault="00D06A43" w:rsidP="00D06A43">
      <w:pPr>
        <w:widowControl w:val="0"/>
        <w:rPr>
          <w:rFonts w:cs="Arial"/>
        </w:rPr>
      </w:pPr>
      <w:r>
        <w:rPr>
          <w:rFonts w:cs="Arial"/>
        </w:rPr>
        <w:t>The company claims no exclusions from the ISO 9001 standard.</w:t>
      </w:r>
    </w:p>
    <w:p w:rsidR="00D06A43" w:rsidRDefault="00D06A43" w:rsidP="00D06A43">
      <w:pPr>
        <w:widowControl w:val="0"/>
        <w:rPr>
          <w:rFonts w:cs="Arial"/>
          <w:highlight w:val="yellow"/>
        </w:rPr>
      </w:pPr>
      <w:r>
        <w:rPr>
          <w:rFonts w:cs="Arial"/>
          <w:highlight w:val="yellow"/>
        </w:rPr>
        <w:t>(Optional: site exclusion table)</w:t>
      </w:r>
    </w:p>
    <w:p w:rsidR="00D06A43" w:rsidRDefault="00D06A43" w:rsidP="00D06A43">
      <w:pPr>
        <w:widowControl w:val="0"/>
        <w:rPr>
          <w:rFonts w:cs="Arial"/>
        </w:rPr>
      </w:pPr>
      <w:r>
        <w:rPr>
          <w:rFonts w:cs="Arial"/>
        </w:rPr>
        <w:t>The following sites are excluded from the company quality system at this time; in the future, these may be incorporated into the company QMS, and this manual will be updated accordingly.</w:t>
      </w:r>
    </w:p>
    <w:p w:rsidR="00D06A43" w:rsidRDefault="00D06A43" w:rsidP="00D06A43">
      <w:pPr>
        <w:widowControl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4990"/>
      </w:tblGrid>
      <w:tr w:rsidR="00D06A43" w:rsidTr="007A5B6B">
        <w:trPr>
          <w:trHeight w:val="288"/>
        </w:trPr>
        <w:tc>
          <w:tcPr>
            <w:tcW w:w="5103" w:type="dxa"/>
            <w:shd w:val="clear" w:color="auto" w:fill="auto"/>
          </w:tcPr>
          <w:p w:rsidR="00D06A43" w:rsidRDefault="00D06A43" w:rsidP="007A5B6B">
            <w:pPr>
              <w:pStyle w:val="AS9100CTableText"/>
              <w:jc w:val="center"/>
            </w:pPr>
            <w:r>
              <w:lastRenderedPageBreak/>
              <w:t>Site 1 Address</w:t>
            </w:r>
          </w:p>
        </w:tc>
        <w:tc>
          <w:tcPr>
            <w:tcW w:w="5103" w:type="dxa"/>
            <w:shd w:val="clear" w:color="auto" w:fill="auto"/>
          </w:tcPr>
          <w:p w:rsidR="00D06A43" w:rsidRDefault="00D06A43" w:rsidP="007A5B6B">
            <w:pPr>
              <w:pStyle w:val="AS9100CTableText"/>
              <w:jc w:val="center"/>
            </w:pPr>
            <w:r>
              <w:t>Site 2 Address</w:t>
            </w:r>
          </w:p>
        </w:tc>
      </w:tr>
      <w:tr w:rsidR="00D06A43" w:rsidTr="007A5B6B">
        <w:trPr>
          <w:trHeight w:val="288"/>
        </w:trPr>
        <w:tc>
          <w:tcPr>
            <w:tcW w:w="5103" w:type="dxa"/>
            <w:shd w:val="clear" w:color="auto" w:fill="auto"/>
          </w:tcPr>
          <w:p w:rsidR="00D06A43" w:rsidRDefault="00D06A43" w:rsidP="007A5B6B">
            <w:pPr>
              <w:pStyle w:val="AS9100CTableText"/>
              <w:jc w:val="center"/>
            </w:pPr>
            <w:r>
              <w:t>Site 3 Address</w:t>
            </w:r>
          </w:p>
        </w:tc>
        <w:tc>
          <w:tcPr>
            <w:tcW w:w="5103" w:type="dxa"/>
            <w:shd w:val="clear" w:color="auto" w:fill="auto"/>
          </w:tcPr>
          <w:p w:rsidR="00D06A43" w:rsidRDefault="00D06A43" w:rsidP="007A5B6B">
            <w:pPr>
              <w:pStyle w:val="AS9100CTableText"/>
              <w:jc w:val="center"/>
            </w:pPr>
            <w:r>
              <w:t>Site 4 Address</w:t>
            </w:r>
          </w:p>
        </w:tc>
      </w:tr>
    </w:tbl>
    <w:p w:rsidR="00D06A43" w:rsidRDefault="00D06A43" w:rsidP="00D06A43">
      <w:pPr>
        <w:widowControl w:val="0"/>
        <w:rPr>
          <w:rFonts w:cs="Arial"/>
        </w:rPr>
      </w:pPr>
    </w:p>
    <w:p w:rsidR="003B3847" w:rsidRDefault="003B3847" w:rsidP="00D06A43">
      <w:pPr>
        <w:widowControl w:val="0"/>
        <w:rPr>
          <w:rFonts w:cs="Arial"/>
        </w:rPr>
      </w:pPr>
    </w:p>
    <w:p w:rsidR="00D06A43" w:rsidRDefault="003B3847" w:rsidP="003B3847">
      <w:pPr>
        <w:pStyle w:val="OxebridgeCHeader1"/>
      </w:pPr>
      <w:bookmarkStart w:id="5" w:name="_Toc457383559"/>
      <w:r w:rsidRPr="003B3847">
        <w:t>QMS Processes</w:t>
      </w:r>
      <w:bookmarkEnd w:id="5"/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 xml:space="preserve">[Short Client Name] has adopted a process approach for its management system. By identifying the top-level processes within the company, and then managing each of these discretely, this reduces the potential for nonconforming [Products or Services </w:t>
      </w:r>
      <w:proofErr w:type="spellStart"/>
      <w:r w:rsidRPr="00D06A43">
        <w:rPr>
          <w:rFonts w:cs="Arial"/>
        </w:rPr>
        <w:t>Plur</w:t>
      </w:r>
      <w:proofErr w:type="spellEnd"/>
      <w:r w:rsidRPr="00D06A43">
        <w:rPr>
          <w:rFonts w:cs="Arial"/>
        </w:rPr>
        <w:t>.] discovered during final processes or after delivery. Instead, nonconformities and risks are identified in real time, by actions taken within each of the top-level processes.</w:t>
      </w:r>
    </w:p>
    <w:p w:rsidR="00D06A43" w:rsidRPr="00D06A43" w:rsidRDefault="00D06A43" w:rsidP="00D06A43">
      <w:pPr>
        <w:widowControl w:val="0"/>
        <w:shd w:val="clear" w:color="auto" w:fill="D9D9D9" w:themeFill="background1" w:themeFillShade="D9"/>
        <w:rPr>
          <w:rFonts w:cs="Arial"/>
          <w:i/>
          <w:sz w:val="18"/>
          <w:szCs w:val="18"/>
        </w:rPr>
      </w:pPr>
      <w:r w:rsidRPr="00D06A43">
        <w:rPr>
          <w:rFonts w:cs="Arial"/>
          <w:i/>
          <w:sz w:val="18"/>
          <w:szCs w:val="18"/>
        </w:rPr>
        <w:t>Note: not all activities are considered “processes” – the term “process” in this context indicates the activity has been elevated to a higher level of control and management oversight.</w:t>
      </w:r>
      <w:r w:rsidRPr="00D06A43">
        <w:rPr>
          <w:sz w:val="18"/>
          <w:szCs w:val="18"/>
        </w:rPr>
        <w:t xml:space="preserve"> </w:t>
      </w:r>
      <w:r w:rsidRPr="00D06A43">
        <w:rPr>
          <w:rFonts w:cs="Arial"/>
          <w:i/>
          <w:sz w:val="18"/>
          <w:szCs w:val="18"/>
        </w:rPr>
        <w:t>The controls indicated herein are applicable only to the top-level processes identified.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>The following top-level processes have been identified for [Short Client Name]:</w:t>
      </w:r>
    </w:p>
    <w:p w:rsidR="00D06A43" w:rsidRPr="007A5B6B" w:rsidRDefault="00D06A43" w:rsidP="007A5B6B">
      <w:pPr>
        <w:pStyle w:val="ListParagraph"/>
        <w:widowControl w:val="0"/>
        <w:numPr>
          <w:ilvl w:val="0"/>
          <w:numId w:val="24"/>
        </w:numPr>
        <w:rPr>
          <w:rFonts w:cs="Arial"/>
          <w:highlight w:val="yellow"/>
        </w:rPr>
      </w:pPr>
      <w:r w:rsidRPr="007A5B6B">
        <w:rPr>
          <w:rFonts w:cs="Arial"/>
          <w:highlight w:val="yellow"/>
        </w:rPr>
        <w:t>List processes here</w:t>
      </w:r>
    </w:p>
    <w:p w:rsidR="00D06A43" w:rsidRPr="007A5B6B" w:rsidRDefault="00D06A43" w:rsidP="007A5B6B">
      <w:pPr>
        <w:pStyle w:val="ListParagraph"/>
        <w:widowControl w:val="0"/>
        <w:numPr>
          <w:ilvl w:val="0"/>
          <w:numId w:val="24"/>
        </w:numPr>
        <w:rPr>
          <w:rFonts w:cs="Arial"/>
          <w:highlight w:val="yellow"/>
        </w:rPr>
      </w:pPr>
      <w:r w:rsidRPr="007A5B6B">
        <w:rPr>
          <w:rFonts w:cs="Arial"/>
          <w:highlight w:val="yellow"/>
        </w:rPr>
        <w:t>List processes here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>Each process may be supported by other activities, such as tasks or sub-processes. Monitoring and control of top level processes ensures effective implementation and control of all subordinate tasks or sub-processes.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>Each top-level process has a</w:t>
      </w:r>
      <w:r w:rsidRPr="00D06A43">
        <w:rPr>
          <w:rFonts w:cs="Arial"/>
          <w:b/>
          <w:i/>
        </w:rPr>
        <w:t xml:space="preserve"> [Process Definition Doc Title] </w:t>
      </w:r>
      <w:r w:rsidRPr="00D06A43">
        <w:rPr>
          <w:rFonts w:cs="Arial"/>
        </w:rPr>
        <w:t>document which defines:</w:t>
      </w:r>
    </w:p>
    <w:p w:rsidR="00D06A43" w:rsidRPr="007A5B6B" w:rsidRDefault="00D06A43" w:rsidP="007A5B6B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7A5B6B">
        <w:rPr>
          <w:rFonts w:cs="Arial"/>
        </w:rPr>
        <w:t>applicable inputs and outputs</w:t>
      </w:r>
    </w:p>
    <w:p w:rsidR="00D06A43" w:rsidRPr="007A5B6B" w:rsidRDefault="00D06A43" w:rsidP="007A5B6B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7A5B6B">
        <w:rPr>
          <w:rFonts w:cs="Arial"/>
        </w:rPr>
        <w:t>process owner(s)</w:t>
      </w:r>
    </w:p>
    <w:p w:rsidR="00D06A43" w:rsidRPr="007A5B6B" w:rsidRDefault="00D06A43" w:rsidP="007A5B6B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7A5B6B">
        <w:rPr>
          <w:rFonts w:cs="Arial"/>
        </w:rPr>
        <w:t>applicable responsibilities and authorities</w:t>
      </w:r>
    </w:p>
    <w:p w:rsidR="00D06A43" w:rsidRPr="007A5B6B" w:rsidRDefault="00D06A43" w:rsidP="007A5B6B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7A5B6B">
        <w:rPr>
          <w:rFonts w:cs="Arial"/>
        </w:rPr>
        <w:t>applicable risks and opportunities</w:t>
      </w:r>
    </w:p>
    <w:p w:rsidR="00D06A43" w:rsidRPr="007A5B6B" w:rsidRDefault="00D06A43" w:rsidP="007A5B6B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7A5B6B">
        <w:rPr>
          <w:rFonts w:cs="Arial"/>
        </w:rPr>
        <w:t>critical and supporting resources</w:t>
      </w:r>
    </w:p>
    <w:p w:rsidR="00D06A43" w:rsidRPr="007A5B6B" w:rsidRDefault="00D06A43" w:rsidP="007A5B6B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7A5B6B">
        <w:rPr>
          <w:rFonts w:cs="Arial"/>
        </w:rPr>
        <w:t>criteria and methods employed to ensure the effectiveness of the process</w:t>
      </w:r>
    </w:p>
    <w:p w:rsidR="00D06A43" w:rsidRDefault="00D06A43" w:rsidP="007A5B6B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7A5B6B">
        <w:rPr>
          <w:rFonts w:cs="Arial"/>
        </w:rPr>
        <w:t>quality objectives related to that process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 xml:space="preserve">The sequence of interaction of these processes is illustrated in Appendix A. </w:t>
      </w:r>
    </w:p>
    <w:p w:rsidR="00D06A43" w:rsidRPr="00D06A43" w:rsidRDefault="00D06A43" w:rsidP="00D06A43">
      <w:pPr>
        <w:widowControl w:val="0"/>
        <w:shd w:val="clear" w:color="auto" w:fill="D9D9D9" w:themeFill="background1" w:themeFillShade="D9"/>
        <w:rPr>
          <w:rFonts w:cs="Arial"/>
          <w:i/>
          <w:sz w:val="18"/>
          <w:szCs w:val="18"/>
        </w:rPr>
      </w:pPr>
      <w:r w:rsidRPr="00D06A43">
        <w:rPr>
          <w:rFonts w:cs="Arial"/>
          <w:i/>
          <w:sz w:val="18"/>
          <w:szCs w:val="18"/>
        </w:rPr>
        <w:t xml:space="preserve">Note: Appendix A represents the </w:t>
      </w:r>
      <w:r w:rsidRPr="00D06A43">
        <w:rPr>
          <w:rFonts w:cs="Arial"/>
          <w:i/>
          <w:sz w:val="18"/>
          <w:szCs w:val="18"/>
          <w:u w:val="single"/>
        </w:rPr>
        <w:t>typical</w:t>
      </w:r>
      <w:r w:rsidRPr="00D06A43">
        <w:rPr>
          <w:rFonts w:cs="Arial"/>
          <w:i/>
          <w:sz w:val="18"/>
          <w:szCs w:val="18"/>
        </w:rPr>
        <w:t xml:space="preserve"> sequence of processes, and may be altered depending on customer or regulatory requirements at the job or contract level, as needed.</w:t>
      </w:r>
    </w:p>
    <w:p w:rsidR="008F3011" w:rsidRPr="008F3011" w:rsidRDefault="008F3011" w:rsidP="008F3011">
      <w:pPr>
        <w:widowControl w:val="0"/>
        <w:rPr>
          <w:rFonts w:cs="Arial"/>
        </w:rPr>
      </w:pPr>
      <w:r>
        <w:rPr>
          <w:rFonts w:cs="Arial"/>
        </w:rPr>
        <w:t>Additional QMS documented procedures have been developed to support the QMS and its processes; these are listed in Appendix B. This list only provides some top-level procedures, and may not reflect the entirety of all QMS documentation.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>Each process has at least one objective established for it; this is a statement of the intent of the process. Each objective is then supported by at least one “metric” or key performance indicator (KPI) which is then measur</w:t>
      </w:r>
      <w:bookmarkStart w:id="6" w:name="_GoBack"/>
      <w:bookmarkEnd w:id="6"/>
      <w:r w:rsidRPr="00D06A43">
        <w:rPr>
          <w:rFonts w:cs="Arial"/>
        </w:rPr>
        <w:t>ed to determine the process’ ability to meet the quality objective.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>Throughout the year, metrics data is measured and gathered by process owners or other assigned managers, in order to present the data to [Senior Management Team Name]. The data is then analyzed by [Senior Management Team Name] in order that [Senior Management Team Name] may set goals and make adjustments for the purposes of long-term continual improvement.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 xml:space="preserve">The specific quality objectives for each process are defined in the applicable </w:t>
      </w:r>
      <w:r w:rsidRPr="00D06A43">
        <w:rPr>
          <w:rFonts w:cs="Arial"/>
          <w:b/>
          <w:i/>
        </w:rPr>
        <w:t xml:space="preserve">[Process Definition Doc </w:t>
      </w:r>
      <w:r w:rsidRPr="00D06A43">
        <w:rPr>
          <w:rFonts w:cs="Arial"/>
          <w:b/>
          <w:i/>
        </w:rPr>
        <w:lastRenderedPageBreak/>
        <w:t>Title]</w:t>
      </w:r>
      <w:r w:rsidRPr="00D06A43">
        <w:rPr>
          <w:rFonts w:cs="Arial"/>
        </w:rPr>
        <w:t xml:space="preserve">. 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>Metrics, along with current standings and goals for each objective, are recorded in records of management review.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>When a process does not meet a goal, or an unexpected problem is encountered with a  process, the corrective and preventive action process is implemented to research and resolve the issue. In addition, opportunities for improvement are sought and implemented, for the identified processes.</w:t>
      </w:r>
    </w:p>
    <w:p w:rsidR="00D06A43" w:rsidRPr="00D06A43" w:rsidRDefault="00D06A43" w:rsidP="00D06A43">
      <w:pPr>
        <w:widowControl w:val="0"/>
        <w:rPr>
          <w:rFonts w:cs="Arial"/>
        </w:rPr>
      </w:pPr>
      <w:r w:rsidRPr="00D06A43">
        <w:rPr>
          <w:rFonts w:cs="Arial"/>
        </w:rPr>
        <w:t xml:space="preserve">Any process performed by a third party is considered an “outsourced process” and must be controlled, as well. The company’s outsourced processes, and the control methods implemented for each, are defined in </w:t>
      </w:r>
      <w:r w:rsidRPr="00D06A43">
        <w:rPr>
          <w:rFonts w:cs="Arial"/>
          <w:b/>
          <w:i/>
        </w:rPr>
        <w:t>[Outsourced Processes Title]</w:t>
      </w:r>
      <w:r w:rsidRPr="00D06A43">
        <w:rPr>
          <w:rFonts w:cs="Arial"/>
        </w:rPr>
        <w:t>.</w:t>
      </w:r>
    </w:p>
    <w:p w:rsidR="00D06A43" w:rsidRDefault="00D06A43" w:rsidP="00D06A43"/>
    <w:p w:rsidR="000B0E1A" w:rsidRDefault="000B0E1A">
      <w:pPr>
        <w:spacing w:after="0"/>
        <w:jc w:val="left"/>
      </w:pPr>
      <w:r>
        <w:br w:type="page"/>
      </w:r>
    </w:p>
    <w:p w:rsidR="00BE120C" w:rsidRDefault="00DD1E86" w:rsidP="008F3011">
      <w:pPr>
        <w:pStyle w:val="OxebridgeCHeader1"/>
        <w:numPr>
          <w:ilvl w:val="0"/>
          <w:numId w:val="0"/>
        </w:numPr>
      </w:pPr>
      <w:bookmarkStart w:id="7" w:name="_Toc457383560"/>
      <w:r>
        <w:lastRenderedPageBreak/>
        <w:t>Appendix A:</w:t>
      </w:r>
      <w:r>
        <w:tab/>
        <w:t>Overall Process Sequence &amp; Interaction</w:t>
      </w:r>
      <w:bookmarkEnd w:id="7"/>
    </w:p>
    <w:p w:rsidR="00BE120C" w:rsidRDefault="00BE120C"/>
    <w:p w:rsidR="00BE120C" w:rsidRDefault="00DD1E86">
      <w:r>
        <w:rPr>
          <w:highlight w:val="yellow"/>
        </w:rPr>
        <w:t>Add diagram of sequence flow here.</w:t>
      </w:r>
    </w:p>
    <w:p w:rsidR="00BE120C" w:rsidRDefault="00BE120C">
      <w:pPr>
        <w:rPr>
          <w:rFonts w:cs="Arial"/>
        </w:rPr>
      </w:pPr>
    </w:p>
    <w:p w:rsidR="00BE120C" w:rsidRDefault="00BE120C">
      <w:pPr>
        <w:rPr>
          <w:rFonts w:cs="Arial"/>
        </w:rPr>
      </w:pPr>
    </w:p>
    <w:p w:rsidR="00BE120C" w:rsidRDefault="00BE120C">
      <w:pPr>
        <w:rPr>
          <w:rFonts w:cs="Arial"/>
        </w:rPr>
      </w:pPr>
    </w:p>
    <w:p w:rsidR="008F3011" w:rsidRDefault="008F3011">
      <w:pPr>
        <w:spacing w:after="0"/>
        <w:jc w:val="left"/>
        <w:rPr>
          <w:rFonts w:cs="Arial"/>
          <w:b/>
          <w:sz w:val="28"/>
        </w:rPr>
      </w:pPr>
      <w:r>
        <w:br w:type="page"/>
      </w:r>
    </w:p>
    <w:p w:rsidR="00F47C91" w:rsidRDefault="008F3011" w:rsidP="008F3011">
      <w:pPr>
        <w:pStyle w:val="OxebridgeCHeader1"/>
        <w:numPr>
          <w:ilvl w:val="0"/>
          <w:numId w:val="0"/>
        </w:numPr>
        <w:ind w:left="720" w:hanging="720"/>
      </w:pPr>
      <w:r>
        <w:lastRenderedPageBreak/>
        <w:t>Appendix B:</w:t>
      </w:r>
      <w:r>
        <w:tab/>
        <w:t>Subordinate QMS Procedures</w:t>
      </w:r>
    </w:p>
    <w:p w:rsidR="008F3011" w:rsidRDefault="008F3011" w:rsidP="008F3011"/>
    <w:p w:rsidR="008F3011" w:rsidRDefault="008F3011" w:rsidP="008F3011">
      <w:pPr>
        <w:pStyle w:val="ListParagraph"/>
        <w:numPr>
          <w:ilvl w:val="0"/>
          <w:numId w:val="30"/>
        </w:numPr>
      </w:pPr>
      <w:r>
        <w:t>[Calibration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 xml:space="preserve">[Change </w:t>
      </w:r>
      <w:proofErr w:type="spellStart"/>
      <w:r>
        <w:t>Mgmt</w:t>
      </w:r>
      <w:proofErr w:type="spellEnd"/>
      <w:r>
        <w:t xml:space="preserve"> Doc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[Context of the Org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[Control of Documents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[Control of NCP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[Control of Nonconforming Service Proc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[Control of Records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[Corrective Preventive Action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[Customer Property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[Design Procedure Doc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[Equipment Validation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[Identification &amp; Traceability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[Internal Auditing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[Management Review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[Outsourced Processes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[Preservation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[Preventive Maintenance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[Purchasing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[Quoting and Orders Doc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[Receiving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[Risk Management Proc.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[Special Process Doc Title]</w:t>
      </w:r>
    </w:p>
    <w:p w:rsidR="008F3011" w:rsidRDefault="008F3011" w:rsidP="008F3011">
      <w:pPr>
        <w:pStyle w:val="ListParagraph"/>
        <w:numPr>
          <w:ilvl w:val="0"/>
          <w:numId w:val="30"/>
        </w:numPr>
      </w:pPr>
      <w:r>
        <w:t>[Training Proc. Title]</w:t>
      </w:r>
    </w:p>
    <w:sectPr w:rsidR="008F3011">
      <w:pgSz w:w="12240" w:h="15840" w:code="1"/>
      <w:pgMar w:top="1856" w:right="8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B80" w:rsidRDefault="00C11B80">
      <w:r>
        <w:separator/>
      </w:r>
    </w:p>
  </w:endnote>
  <w:endnote w:type="continuationSeparator" w:id="0">
    <w:p w:rsidR="00C11B80" w:rsidRDefault="00C1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B6B" w:rsidRDefault="007A5B6B">
    <w:pPr>
      <w:pStyle w:val="Footer"/>
      <w:pBdr>
        <w:top w:val="single" w:sz="4" w:space="1" w:color="auto"/>
      </w:pBdr>
      <w:tabs>
        <w:tab w:val="clear" w:pos="8640"/>
        <w:tab w:val="right" w:pos="9990"/>
      </w:tabs>
      <w:jc w:val="center"/>
      <w:rPr>
        <w:sz w:val="16"/>
        <w:szCs w:val="18"/>
      </w:rPr>
    </w:pPr>
    <w:r>
      <w:rPr>
        <w:rStyle w:val="AS9100CFooterTextChar"/>
      </w:rPr>
      <w:t xml:space="preserve">Page </w:t>
    </w:r>
    <w:r>
      <w:rPr>
        <w:rStyle w:val="AS9100CFooterTextChar"/>
      </w:rPr>
      <w:fldChar w:fldCharType="begin"/>
    </w:r>
    <w:r>
      <w:rPr>
        <w:rStyle w:val="AS9100CFooterTextChar"/>
      </w:rPr>
      <w:instrText xml:space="preserve"> PAGE </w:instrText>
    </w:r>
    <w:r>
      <w:rPr>
        <w:rStyle w:val="AS9100CFooterTextChar"/>
      </w:rPr>
      <w:fldChar w:fldCharType="separate"/>
    </w:r>
    <w:r w:rsidR="008F3011">
      <w:rPr>
        <w:rStyle w:val="AS9100CFooterTextChar"/>
        <w:noProof/>
      </w:rPr>
      <w:t>1</w:t>
    </w:r>
    <w:r>
      <w:rPr>
        <w:rStyle w:val="AS9100CFooterTextChar"/>
      </w:rPr>
      <w:fldChar w:fldCharType="end"/>
    </w:r>
    <w:r>
      <w:rPr>
        <w:rStyle w:val="AS9100CFooterTextChar"/>
      </w:rPr>
      <w:t xml:space="preserve"> of </w:t>
    </w:r>
    <w:r>
      <w:rPr>
        <w:rStyle w:val="AS9100CFooterTextChar"/>
      </w:rPr>
      <w:fldChar w:fldCharType="begin"/>
    </w:r>
    <w:r>
      <w:rPr>
        <w:rStyle w:val="AS9100CFooterTextChar"/>
      </w:rPr>
      <w:instrText xml:space="preserve"> = </w:instrText>
    </w:r>
    <w:r>
      <w:rPr>
        <w:rStyle w:val="AS9100CFooterTextChar"/>
      </w:rPr>
      <w:fldChar w:fldCharType="begin"/>
    </w:r>
    <w:r>
      <w:rPr>
        <w:rStyle w:val="AS9100CFooterTextChar"/>
      </w:rPr>
      <w:instrText xml:space="preserve"> NUMPAGES </w:instrText>
    </w:r>
    <w:r>
      <w:rPr>
        <w:rStyle w:val="AS9100CFooterTextChar"/>
      </w:rPr>
      <w:fldChar w:fldCharType="separate"/>
    </w:r>
    <w:r w:rsidR="008F3011">
      <w:rPr>
        <w:rStyle w:val="AS9100CFooterTextChar"/>
        <w:noProof/>
      </w:rPr>
      <w:instrText>7</w:instrText>
    </w:r>
    <w:r>
      <w:rPr>
        <w:rStyle w:val="AS9100CFooterTextChar"/>
      </w:rPr>
      <w:fldChar w:fldCharType="end"/>
    </w:r>
    <w:r>
      <w:rPr>
        <w:rStyle w:val="AS9100CFooterTextChar"/>
      </w:rPr>
      <w:instrText xml:space="preserve"> -1 </w:instrText>
    </w:r>
    <w:r>
      <w:rPr>
        <w:rStyle w:val="AS9100CFooterTextChar"/>
      </w:rPr>
      <w:fldChar w:fldCharType="separate"/>
    </w:r>
    <w:r w:rsidR="008F3011">
      <w:rPr>
        <w:rStyle w:val="AS9100CFooterTextChar"/>
        <w:noProof/>
      </w:rPr>
      <w:t>6</w:t>
    </w:r>
    <w:r>
      <w:rPr>
        <w:rStyle w:val="AS9100CFooterTextCh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B80" w:rsidRDefault="00C11B80">
      <w:r>
        <w:separator/>
      </w:r>
    </w:p>
  </w:footnote>
  <w:footnote w:type="continuationSeparator" w:id="0">
    <w:p w:rsidR="00C11B80" w:rsidRDefault="00C11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B6B" w:rsidRDefault="007A5B6B">
    <w:pPr>
      <w:pStyle w:val="AS9100CHeaderText"/>
    </w:pPr>
    <w:r>
      <w:tab/>
    </w:r>
    <w:r>
      <w:tab/>
      <w:t xml:space="preserve">[Full Client Name </w:t>
    </w:r>
    <w:proofErr w:type="spellStart"/>
    <w:r>
      <w:t>Reg</w:t>
    </w:r>
    <w:proofErr w:type="spellEnd"/>
    <w:r>
      <w:t xml:space="preserve"> Caps]</w:t>
    </w:r>
  </w:p>
  <w:p w:rsidR="007A5B6B" w:rsidRDefault="007A5B6B">
    <w:pPr>
      <w:pStyle w:val="AS9100CHeaderText"/>
    </w:pPr>
    <w:r>
      <w:t>[Quality Manual Doc Title]</w:t>
    </w:r>
  </w:p>
  <w:p w:rsidR="007A5B6B" w:rsidRDefault="007A5B6B">
    <w:pPr>
      <w:pStyle w:val="AS9100CHeaderText"/>
    </w:pPr>
    <w:r>
      <w:tab/>
    </w:r>
    <w:r>
      <w:tab/>
      <w:t>Revision [Rev Number] - [Date of Issue]</w:t>
    </w:r>
  </w:p>
  <w:p w:rsidR="007A5B6B" w:rsidRDefault="007A5B6B">
    <w:pPr>
      <w:pStyle w:val="AS9100CHeaderText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38F8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17C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A0D"/>
    <w:multiLevelType w:val="hybridMultilevel"/>
    <w:tmpl w:val="ED125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DBF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4BC"/>
    <w:multiLevelType w:val="hybridMultilevel"/>
    <w:tmpl w:val="ED125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67D3"/>
    <w:multiLevelType w:val="hybridMultilevel"/>
    <w:tmpl w:val="99D2A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0820"/>
    <w:multiLevelType w:val="hybridMultilevel"/>
    <w:tmpl w:val="A7D4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A768A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94B62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213E4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3F15"/>
    <w:multiLevelType w:val="hybridMultilevel"/>
    <w:tmpl w:val="F36E795E"/>
    <w:lvl w:ilvl="0" w:tplc="78BC617E">
      <w:start w:val="1"/>
      <w:numFmt w:val="bullet"/>
      <w:pStyle w:val="Oxebridge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162EF"/>
    <w:multiLevelType w:val="hybridMultilevel"/>
    <w:tmpl w:val="7FEC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C6746"/>
    <w:multiLevelType w:val="multilevel"/>
    <w:tmpl w:val="0A6E726C"/>
    <w:lvl w:ilvl="0">
      <w:numFmt w:val="decimal"/>
      <w:pStyle w:val="OxebridgeCHeader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431AC4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46A3F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1253"/>
    <w:multiLevelType w:val="hybridMultilevel"/>
    <w:tmpl w:val="46408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67DD5"/>
    <w:multiLevelType w:val="hybridMultilevel"/>
    <w:tmpl w:val="3744B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48584E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3F3C"/>
    <w:multiLevelType w:val="hybridMultilevel"/>
    <w:tmpl w:val="ED125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11CB7"/>
    <w:multiLevelType w:val="hybridMultilevel"/>
    <w:tmpl w:val="ED125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B3E83"/>
    <w:multiLevelType w:val="hybridMultilevel"/>
    <w:tmpl w:val="ED125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E36D5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00D1E"/>
    <w:multiLevelType w:val="hybridMultilevel"/>
    <w:tmpl w:val="ED125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144A1"/>
    <w:multiLevelType w:val="hybridMultilevel"/>
    <w:tmpl w:val="4682641C"/>
    <w:lvl w:ilvl="0" w:tplc="09DCBC42">
      <w:start w:val="1"/>
      <w:numFmt w:val="bullet"/>
      <w:pStyle w:val="CNCBullet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4858"/>
    <w:multiLevelType w:val="hybridMultilevel"/>
    <w:tmpl w:val="55D89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6A1123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B7D25"/>
    <w:multiLevelType w:val="hybridMultilevel"/>
    <w:tmpl w:val="ED125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12FF1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E5F9B"/>
    <w:multiLevelType w:val="hybridMultilevel"/>
    <w:tmpl w:val="1E644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7"/>
  </w:num>
  <w:num w:numId="4">
    <w:abstractNumId w:val="21"/>
  </w:num>
  <w:num w:numId="5">
    <w:abstractNumId w:val="25"/>
  </w:num>
  <w:num w:numId="6">
    <w:abstractNumId w:val="28"/>
  </w:num>
  <w:num w:numId="7">
    <w:abstractNumId w:val="14"/>
  </w:num>
  <w:num w:numId="8">
    <w:abstractNumId w:val="19"/>
  </w:num>
  <w:num w:numId="9">
    <w:abstractNumId w:val="4"/>
  </w:num>
  <w:num w:numId="10">
    <w:abstractNumId w:val="12"/>
  </w:num>
  <w:num w:numId="11">
    <w:abstractNumId w:val="10"/>
  </w:num>
  <w:num w:numId="12">
    <w:abstractNumId w:val="15"/>
  </w:num>
  <w:num w:numId="13">
    <w:abstractNumId w:val="9"/>
  </w:num>
  <w:num w:numId="14">
    <w:abstractNumId w:val="6"/>
  </w:num>
  <w:num w:numId="15">
    <w:abstractNumId w:val="8"/>
  </w:num>
  <w:num w:numId="16">
    <w:abstractNumId w:val="5"/>
  </w:num>
  <w:num w:numId="17">
    <w:abstractNumId w:val="0"/>
  </w:num>
  <w:num w:numId="18">
    <w:abstractNumId w:val="20"/>
  </w:num>
  <w:num w:numId="19">
    <w:abstractNumId w:val="18"/>
  </w:num>
  <w:num w:numId="20">
    <w:abstractNumId w:val="22"/>
  </w:num>
  <w:num w:numId="21">
    <w:abstractNumId w:val="13"/>
  </w:num>
  <w:num w:numId="22">
    <w:abstractNumId w:val="12"/>
  </w:num>
  <w:num w:numId="23">
    <w:abstractNumId w:val="16"/>
  </w:num>
  <w:num w:numId="24">
    <w:abstractNumId w:val="24"/>
  </w:num>
  <w:num w:numId="25">
    <w:abstractNumId w:val="7"/>
  </w:num>
  <w:num w:numId="26">
    <w:abstractNumId w:val="17"/>
  </w:num>
  <w:num w:numId="27">
    <w:abstractNumId w:val="3"/>
  </w:num>
  <w:num w:numId="28">
    <w:abstractNumId w:val="26"/>
  </w:num>
  <w:num w:numId="29">
    <w:abstractNumId w:val="2"/>
  </w:num>
  <w:num w:numId="3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0C"/>
    <w:rsid w:val="00010F8C"/>
    <w:rsid w:val="0003551B"/>
    <w:rsid w:val="00041A7B"/>
    <w:rsid w:val="00080EE5"/>
    <w:rsid w:val="000B0E1A"/>
    <w:rsid w:val="000C4E46"/>
    <w:rsid w:val="000C66BC"/>
    <w:rsid w:val="000D23E7"/>
    <w:rsid w:val="00147B61"/>
    <w:rsid w:val="001760CA"/>
    <w:rsid w:val="001F1E2C"/>
    <w:rsid w:val="00224E89"/>
    <w:rsid w:val="00230A89"/>
    <w:rsid w:val="00232E68"/>
    <w:rsid w:val="00283BC8"/>
    <w:rsid w:val="002A0E13"/>
    <w:rsid w:val="002B7FDD"/>
    <w:rsid w:val="002D6341"/>
    <w:rsid w:val="002E51BD"/>
    <w:rsid w:val="003010FC"/>
    <w:rsid w:val="00333333"/>
    <w:rsid w:val="00337298"/>
    <w:rsid w:val="00342AB6"/>
    <w:rsid w:val="00384A60"/>
    <w:rsid w:val="003B3847"/>
    <w:rsid w:val="003D3A20"/>
    <w:rsid w:val="003E1DF0"/>
    <w:rsid w:val="003F19FA"/>
    <w:rsid w:val="00431B7B"/>
    <w:rsid w:val="00484260"/>
    <w:rsid w:val="0048770D"/>
    <w:rsid w:val="00490AF5"/>
    <w:rsid w:val="004E2CE9"/>
    <w:rsid w:val="00524D3B"/>
    <w:rsid w:val="00557917"/>
    <w:rsid w:val="00561263"/>
    <w:rsid w:val="005652F0"/>
    <w:rsid w:val="005C3243"/>
    <w:rsid w:val="005E128F"/>
    <w:rsid w:val="005E5239"/>
    <w:rsid w:val="00676D99"/>
    <w:rsid w:val="006B0480"/>
    <w:rsid w:val="006E2BF3"/>
    <w:rsid w:val="00736B22"/>
    <w:rsid w:val="00754AAD"/>
    <w:rsid w:val="0079041F"/>
    <w:rsid w:val="007A5B6B"/>
    <w:rsid w:val="007B361F"/>
    <w:rsid w:val="007B69DC"/>
    <w:rsid w:val="007F2BB2"/>
    <w:rsid w:val="007F77AC"/>
    <w:rsid w:val="00800679"/>
    <w:rsid w:val="008F1614"/>
    <w:rsid w:val="008F3011"/>
    <w:rsid w:val="008F792E"/>
    <w:rsid w:val="0091070D"/>
    <w:rsid w:val="0099292F"/>
    <w:rsid w:val="00996C93"/>
    <w:rsid w:val="009B1464"/>
    <w:rsid w:val="009B234D"/>
    <w:rsid w:val="009F7D29"/>
    <w:rsid w:val="00A51CE9"/>
    <w:rsid w:val="00A55942"/>
    <w:rsid w:val="00A85125"/>
    <w:rsid w:val="00A87D77"/>
    <w:rsid w:val="00AE5E13"/>
    <w:rsid w:val="00AF3F6F"/>
    <w:rsid w:val="00B23D7D"/>
    <w:rsid w:val="00B3666B"/>
    <w:rsid w:val="00B6229A"/>
    <w:rsid w:val="00B741D8"/>
    <w:rsid w:val="00B76B5C"/>
    <w:rsid w:val="00BB0066"/>
    <w:rsid w:val="00BD144E"/>
    <w:rsid w:val="00BE120C"/>
    <w:rsid w:val="00BF1BF2"/>
    <w:rsid w:val="00BF4BD5"/>
    <w:rsid w:val="00BF4D30"/>
    <w:rsid w:val="00C00F19"/>
    <w:rsid w:val="00C11B80"/>
    <w:rsid w:val="00C14F93"/>
    <w:rsid w:val="00C268FE"/>
    <w:rsid w:val="00C869FA"/>
    <w:rsid w:val="00C961F3"/>
    <w:rsid w:val="00CC32D8"/>
    <w:rsid w:val="00CD70EF"/>
    <w:rsid w:val="00CE003A"/>
    <w:rsid w:val="00D06A43"/>
    <w:rsid w:val="00D27742"/>
    <w:rsid w:val="00D6065D"/>
    <w:rsid w:val="00D910D7"/>
    <w:rsid w:val="00D92D71"/>
    <w:rsid w:val="00DD1E86"/>
    <w:rsid w:val="00DF2813"/>
    <w:rsid w:val="00E13185"/>
    <w:rsid w:val="00E75C33"/>
    <w:rsid w:val="00E82CB8"/>
    <w:rsid w:val="00E83C93"/>
    <w:rsid w:val="00EB6CF9"/>
    <w:rsid w:val="00EE4AB5"/>
    <w:rsid w:val="00EF51B8"/>
    <w:rsid w:val="00F3102B"/>
    <w:rsid w:val="00F47C91"/>
    <w:rsid w:val="00F51C61"/>
    <w:rsid w:val="00F53684"/>
    <w:rsid w:val="00FA0EFD"/>
    <w:rsid w:val="00FB3742"/>
    <w:rsid w:val="00FD340B"/>
    <w:rsid w:val="00FD4B2D"/>
    <w:rsid w:val="00FE6EA2"/>
    <w:rsid w:val="00FF1167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BC8FE4-FE39-4543-8803-8B982ADE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A43"/>
    <w:pPr>
      <w:spacing w:after="12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" w:hAnsi="Times"/>
      <w:b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tabs>
        <w:tab w:val="left" w:pos="144"/>
        <w:tab w:val="left" w:pos="810"/>
        <w:tab w:val="right" w:leader="dot" w:pos="9504"/>
      </w:tabs>
      <w:outlineLvl w:val="2"/>
    </w:pPr>
    <w:rPr>
      <w:rFonts w:ascii="Times" w:hAnsi="Times"/>
      <w:b/>
      <w:i/>
      <w:szCs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right" w:leader="dot" w:pos="9504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right" w:leader="dot" w:pos="9504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right" w:leader="dot" w:pos="9504"/>
      </w:tabs>
      <w:jc w:val="center"/>
      <w:outlineLvl w:val="5"/>
    </w:pPr>
    <w:rPr>
      <w:b/>
      <w:sz w:val="48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hAnsi="Arial"/>
      <w:b/>
      <w:sz w:val="28"/>
    </w:rPr>
  </w:style>
  <w:style w:type="character" w:customStyle="1" w:styleId="Heading2Char">
    <w:name w:val="Heading 2 Char"/>
    <w:link w:val="Heading2"/>
    <w:rPr>
      <w:rFonts w:ascii="Times" w:hAnsi="Times"/>
      <w:b/>
      <w:sz w:val="22"/>
    </w:rPr>
  </w:style>
  <w:style w:type="character" w:customStyle="1" w:styleId="Heading3Char">
    <w:name w:val="Heading 3 Char"/>
    <w:link w:val="Heading3"/>
    <w:rPr>
      <w:rFonts w:ascii="Times" w:hAnsi="Times"/>
      <w:b/>
      <w:i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</w:pPr>
    <w:rPr>
      <w:rFonts w:ascii="Times" w:hAnsi="Times"/>
    </w:rPr>
  </w:style>
  <w:style w:type="paragraph" w:styleId="BodyTextIndent">
    <w:name w:val="Body Text Indent"/>
    <w:basedOn w:val="Normal"/>
    <w:pPr>
      <w:widowControl w:val="0"/>
      <w:ind w:left="720"/>
    </w:pPr>
    <w:rPr>
      <w:rFonts w:ascii="Times" w:hAnsi="Times"/>
    </w:rPr>
  </w:style>
  <w:style w:type="paragraph" w:styleId="BodyText2">
    <w:name w:val="Body Text 2"/>
    <w:basedOn w:val="Normal"/>
    <w:pPr>
      <w:widowControl w:val="0"/>
    </w:pPr>
    <w:rPr>
      <w:rFonts w:ascii="Times" w:hAnsi="Times"/>
    </w:rPr>
  </w:style>
  <w:style w:type="paragraph" w:styleId="BodyTextIndent2">
    <w:name w:val="Body Text Indent 2"/>
    <w:basedOn w:val="Normal"/>
    <w:pPr>
      <w:widowControl w:val="0"/>
      <w:ind w:left="360"/>
    </w:pPr>
    <w:rPr>
      <w:sz w:val="18"/>
    </w:rPr>
  </w:style>
  <w:style w:type="paragraph" w:styleId="BodyText3">
    <w:name w:val="Body Text 3"/>
    <w:basedOn w:val="Normal"/>
    <w:pPr>
      <w:widowControl w:val="0"/>
    </w:pPr>
    <w:rPr>
      <w:rFonts w:ascii="Times" w:hAnsi="Times"/>
      <w:b/>
      <w:sz w:val="18"/>
    </w:rPr>
  </w:style>
  <w:style w:type="paragraph" w:styleId="Caption">
    <w:name w:val="caption"/>
    <w:basedOn w:val="Normal"/>
    <w:next w:val="Normal"/>
    <w:pPr>
      <w:widowControl w:val="0"/>
      <w:tabs>
        <w:tab w:val="right" w:leader="dot" w:pos="9504"/>
      </w:tabs>
      <w:jc w:val="center"/>
    </w:pPr>
  </w:style>
  <w:style w:type="paragraph" w:styleId="BodyTextIndent3">
    <w:name w:val="Body Text Indent 3"/>
    <w:basedOn w:val="Normal"/>
    <w:pPr>
      <w:widowControl w:val="0"/>
      <w:ind w:left="720" w:hanging="720"/>
    </w:pPr>
    <w:rPr>
      <w:rFonts w:ascii="Times" w:hAnsi="Times"/>
      <w:i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Pr>
      <w:sz w:val="22"/>
    </w:rPr>
  </w:style>
  <w:style w:type="paragraph" w:customStyle="1" w:styleId="CNCBulletListNormal">
    <w:name w:val="CNC Bullet List Normal"/>
    <w:basedOn w:val="ListParagraph"/>
    <w:link w:val="CNCBulletListNormalChar"/>
    <w:qFormat/>
    <w:pPr>
      <w:widowControl w:val="0"/>
      <w:numPr>
        <w:numId w:val="1"/>
      </w:numPr>
    </w:pPr>
  </w:style>
  <w:style w:type="character" w:customStyle="1" w:styleId="CNCBulletListNormalChar">
    <w:name w:val="CNC Bullet List Normal Char"/>
    <w:basedOn w:val="ListParagraphChar"/>
    <w:link w:val="CNCBulletListNormal"/>
    <w:rPr>
      <w:rFonts w:ascii="Arial" w:hAnsi="Arial"/>
      <w:sz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rsid w:val="007B69DC"/>
    <w:pPr>
      <w:tabs>
        <w:tab w:val="left" w:pos="660"/>
        <w:tab w:val="right" w:leader="dot" w:pos="9990"/>
      </w:tabs>
      <w:spacing w:after="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7B69DC"/>
    <w:pPr>
      <w:tabs>
        <w:tab w:val="left" w:pos="880"/>
        <w:tab w:val="right" w:leader="dot" w:pos="9990"/>
      </w:tabs>
      <w:spacing w:after="0"/>
      <w:ind w:left="216"/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7B69DC"/>
    <w:pPr>
      <w:tabs>
        <w:tab w:val="left" w:pos="1320"/>
        <w:tab w:val="right" w:leader="dot" w:pos="9990"/>
      </w:tabs>
      <w:spacing w:after="0"/>
      <w:ind w:left="446"/>
    </w:pPr>
    <w:rPr>
      <w:sz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Emphasis">
    <w:name w:val="Emphasis"/>
    <w:rPr>
      <w:i/>
      <w:iCs/>
    </w:rPr>
  </w:style>
  <w:style w:type="paragraph" w:customStyle="1" w:styleId="AS9100CTableText">
    <w:name w:val="AS9100C Table Text"/>
    <w:basedOn w:val="Normal"/>
    <w:link w:val="AS9100CTableTextChar"/>
    <w:qFormat/>
    <w:rPr>
      <w:rFonts w:cs="Arial"/>
      <w:sz w:val="18"/>
      <w:szCs w:val="18"/>
    </w:rPr>
  </w:style>
  <w:style w:type="character" w:customStyle="1" w:styleId="AS9100CTableTextChar">
    <w:name w:val="AS9100C Table Text Char"/>
    <w:link w:val="AS9100CTableText"/>
    <w:rPr>
      <w:rFonts w:ascii="Arial" w:hAnsi="Arial" w:cs="Arial"/>
      <w:sz w:val="18"/>
      <w:szCs w:val="18"/>
    </w:rPr>
  </w:style>
  <w:style w:type="paragraph" w:customStyle="1" w:styleId="AS9100CHeaderText">
    <w:name w:val="AS9100 C Header Text"/>
    <w:basedOn w:val="Header"/>
    <w:link w:val="AS9100CHeaderTextChar"/>
    <w:qFormat/>
    <w:pPr>
      <w:tabs>
        <w:tab w:val="clear" w:pos="8640"/>
        <w:tab w:val="right" w:pos="9360"/>
      </w:tabs>
      <w:spacing w:after="0"/>
      <w:jc w:val="right"/>
    </w:pPr>
    <w:rPr>
      <w:sz w:val="16"/>
      <w:szCs w:val="16"/>
    </w:rPr>
  </w:style>
  <w:style w:type="character" w:customStyle="1" w:styleId="AS9100CHeaderTextChar">
    <w:name w:val="AS9100 C Header Text Char"/>
    <w:link w:val="AS9100CHeaderText"/>
    <w:rPr>
      <w:rFonts w:ascii="Arial" w:hAnsi="Arial"/>
      <w:sz w:val="16"/>
      <w:szCs w:val="16"/>
    </w:rPr>
  </w:style>
  <w:style w:type="paragraph" w:customStyle="1" w:styleId="OxebridgeCHeader1">
    <w:name w:val="Oxebridge C Header 1"/>
    <w:basedOn w:val="Heading1"/>
    <w:link w:val="OxebridgeCHeader1Char"/>
    <w:qFormat/>
    <w:rsid w:val="003B3847"/>
    <w:pPr>
      <w:numPr>
        <w:numId w:val="10"/>
      </w:numPr>
    </w:pPr>
    <w:rPr>
      <w:rFonts w:cs="Arial"/>
    </w:rPr>
  </w:style>
  <w:style w:type="character" w:customStyle="1" w:styleId="OxebridgeCHeader1Char">
    <w:name w:val="Oxebridge C Header 1 Char"/>
    <w:link w:val="OxebridgeCHeader1"/>
    <w:rsid w:val="003B3847"/>
    <w:rPr>
      <w:rFonts w:ascii="Arial" w:hAnsi="Arial" w:cs="Arial"/>
      <w:b/>
      <w:sz w:val="28"/>
    </w:rPr>
  </w:style>
  <w:style w:type="paragraph" w:customStyle="1" w:styleId="AS9100CFooterText">
    <w:name w:val="AS9100 C Footer Text"/>
    <w:basedOn w:val="Footer"/>
    <w:link w:val="AS9100CFooterTextChar"/>
    <w:qFormat/>
    <w:pPr>
      <w:spacing w:after="0"/>
      <w:jc w:val="center"/>
    </w:pPr>
    <w:rPr>
      <w:sz w:val="16"/>
      <w:szCs w:val="18"/>
    </w:rPr>
  </w:style>
  <w:style w:type="character" w:customStyle="1" w:styleId="AS9100CFooterTextChar">
    <w:name w:val="AS9100 C Footer Text Char"/>
    <w:link w:val="AS9100CFooterText"/>
    <w:rPr>
      <w:rFonts w:ascii="Arial" w:hAnsi="Arial"/>
      <w:sz w:val="16"/>
      <w:szCs w:val="18"/>
    </w:rPr>
  </w:style>
  <w:style w:type="paragraph" w:customStyle="1" w:styleId="OxebridgeCH3">
    <w:name w:val="Oxebridge C H3"/>
    <w:basedOn w:val="Heading3"/>
    <w:link w:val="OxebridgeCH3Char"/>
    <w:qFormat/>
    <w:pPr>
      <w:spacing w:before="240"/>
    </w:pPr>
    <w:rPr>
      <w:rFonts w:ascii="Arial" w:hAnsi="Arial" w:cs="Arial"/>
    </w:rPr>
  </w:style>
  <w:style w:type="character" w:customStyle="1" w:styleId="OxebridgeCH3Char">
    <w:name w:val="Oxebridge C H3 Char"/>
    <w:link w:val="OxebridgeCH3"/>
    <w:rPr>
      <w:rFonts w:ascii="Arial" w:hAnsi="Arial" w:cs="Arial"/>
      <w:b/>
      <w:i/>
      <w:sz w:val="22"/>
      <w:szCs w:val="22"/>
    </w:rPr>
  </w:style>
  <w:style w:type="paragraph" w:customStyle="1" w:styleId="OxebridgeCH2">
    <w:name w:val="Oxebridge C H2"/>
    <w:basedOn w:val="Heading2"/>
    <w:link w:val="OxebridgeCH2Char"/>
    <w:qFormat/>
    <w:pPr>
      <w:spacing w:before="240"/>
    </w:pPr>
    <w:rPr>
      <w:rFonts w:ascii="Arial" w:hAnsi="Arial" w:cs="Arial"/>
    </w:rPr>
  </w:style>
  <w:style w:type="character" w:customStyle="1" w:styleId="OxebridgeCH2Char">
    <w:name w:val="Oxebridge C H2 Char"/>
    <w:link w:val="OxebridgeCH2"/>
    <w:rPr>
      <w:rFonts w:ascii="Arial" w:hAnsi="Arial" w:cs="Arial"/>
      <w:b/>
      <w:sz w:val="22"/>
    </w:rPr>
  </w:style>
  <w:style w:type="paragraph" w:customStyle="1" w:styleId="OxebridgeBulletList">
    <w:name w:val="Oxebridge Bullet List"/>
    <w:basedOn w:val="Normal"/>
    <w:link w:val="OxebridgeBulletListChar"/>
    <w:qFormat/>
    <w:pPr>
      <w:widowControl w:val="0"/>
      <w:numPr>
        <w:numId w:val="11"/>
      </w:numPr>
    </w:pPr>
    <w:rPr>
      <w:rFonts w:cs="Arial"/>
    </w:rPr>
  </w:style>
  <w:style w:type="character" w:customStyle="1" w:styleId="OxebridgeBulletListChar">
    <w:name w:val="Oxebridge Bullet List Char"/>
    <w:link w:val="OxebridgeBulletList"/>
    <w:rPr>
      <w:rFonts w:ascii="Arial" w:hAnsi="Arial" w:cs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FE6EA2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E6EA2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E6EA2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E6EA2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E6EA2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E6EA2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SHALL">
    <w:name w:val="SHALL"/>
    <w:basedOn w:val="DefaultParagraphFont"/>
    <w:uiPriority w:val="1"/>
    <w:qFormat/>
    <w:rsid w:val="002B7FDD"/>
    <w:rPr>
      <w:rFonts w:ascii="Arial" w:hAnsi="Arial" w:cs="Arial"/>
      <w:color w:val="FF0000"/>
      <w:sz w:val="20"/>
      <w:bdr w:val="none" w:sz="0" w:space="0" w:color="auto"/>
      <w:shd w:val="clear" w:color="auto" w:fill="FFFF00"/>
    </w:rPr>
  </w:style>
  <w:style w:type="character" w:customStyle="1" w:styleId="BodyTextChar">
    <w:name w:val="Body Text Char"/>
    <w:basedOn w:val="DefaultParagraphFont"/>
    <w:link w:val="BodyText"/>
    <w:rsid w:val="00B6229A"/>
    <w:rPr>
      <w:rFonts w:ascii="Times" w:hAnsi="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1F41F-8EE1-49F6-9DA4-0AFF48C3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Oxebridge Totally Free ISO 9001 QMS Template Kit</vt:lpstr>
    </vt:vector>
  </TitlesOfParts>
  <Manager/>
  <Company>www.oxebridge.com</Company>
  <LinksUpToDate>false</LinksUpToDate>
  <CharactersWithSpaces>8027</CharactersWithSpaces>
  <SharedDoc>false</SharedDoc>
  <HLinks>
    <vt:vector size="492" baseType="variant">
      <vt:variant>
        <vt:i4>1835065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_Toc269479507</vt:lpwstr>
      </vt:variant>
      <vt:variant>
        <vt:i4>1835065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_Toc269479506</vt:lpwstr>
      </vt:variant>
      <vt:variant>
        <vt:i4>1835065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_Toc269479505</vt:lpwstr>
      </vt:variant>
      <vt:variant>
        <vt:i4>1835065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_Toc269479504</vt:lpwstr>
      </vt:variant>
      <vt:variant>
        <vt:i4>1835065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_Toc269479503</vt:lpwstr>
      </vt:variant>
      <vt:variant>
        <vt:i4>1835065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_Toc269479502</vt:lpwstr>
      </vt:variant>
      <vt:variant>
        <vt:i4>1835065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_Toc269479501</vt:lpwstr>
      </vt:variant>
      <vt:variant>
        <vt:i4>1835065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_Toc269479500</vt:lpwstr>
      </vt:variant>
      <vt:variant>
        <vt:i4>1376312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_Toc269479499</vt:lpwstr>
      </vt:variant>
      <vt:variant>
        <vt:i4>1376312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_Toc269479498</vt:lpwstr>
      </vt:variant>
      <vt:variant>
        <vt:i4>1376312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_Toc269479497</vt:lpwstr>
      </vt:variant>
      <vt:variant>
        <vt:i4>1376312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_Toc269479496</vt:lpwstr>
      </vt:variant>
      <vt:variant>
        <vt:i4>1376312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_Toc269479495</vt:lpwstr>
      </vt:variant>
      <vt:variant>
        <vt:i4>1376312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_Toc269479494</vt:lpwstr>
      </vt:variant>
      <vt:variant>
        <vt:i4>1376312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_Toc269479493</vt:lpwstr>
      </vt:variant>
      <vt:variant>
        <vt:i4>1376312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_Toc269479492</vt:lpwstr>
      </vt:variant>
      <vt:variant>
        <vt:i4>1376312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_Toc269479491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_Toc269479490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_Toc269479489</vt:lpwstr>
      </vt:variant>
      <vt:variant>
        <vt:i4>1310776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_Toc269479488</vt:lpwstr>
      </vt:variant>
      <vt:variant>
        <vt:i4>1310776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_Toc269479487</vt:lpwstr>
      </vt:variant>
      <vt:variant>
        <vt:i4>1310776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_Toc269479486</vt:lpwstr>
      </vt:variant>
      <vt:variant>
        <vt:i4>1310776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_Toc269479485</vt:lpwstr>
      </vt:variant>
      <vt:variant>
        <vt:i4>1310776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_Toc269479484</vt:lpwstr>
      </vt:variant>
      <vt:variant>
        <vt:i4>1310776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_Toc269479483</vt:lpwstr>
      </vt:variant>
      <vt:variant>
        <vt:i4>1310776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_Toc269479482</vt:lpwstr>
      </vt:variant>
      <vt:variant>
        <vt:i4>1310776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_Toc269479481</vt:lpwstr>
      </vt:variant>
      <vt:variant>
        <vt:i4>1310776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_Toc269479480</vt:lpwstr>
      </vt:variant>
      <vt:variant>
        <vt:i4>1769528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_Toc269479479</vt:lpwstr>
      </vt:variant>
      <vt:variant>
        <vt:i4>1769528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_Toc269479478</vt:lpwstr>
      </vt:variant>
      <vt:variant>
        <vt:i4>1769528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_Toc269479477</vt:lpwstr>
      </vt:variant>
      <vt:variant>
        <vt:i4>1769528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_Toc269479476</vt:lpwstr>
      </vt:variant>
      <vt:variant>
        <vt:i4>1769528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_Toc269479475</vt:lpwstr>
      </vt:variant>
      <vt:variant>
        <vt:i4>1769528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_Toc269479474</vt:lpwstr>
      </vt:variant>
      <vt:variant>
        <vt:i4>1769528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_Toc269479473</vt:lpwstr>
      </vt:variant>
      <vt:variant>
        <vt:i4>1769528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_Toc269479472</vt:lpwstr>
      </vt:variant>
      <vt:variant>
        <vt:i4>1769528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_Toc269479471</vt:lpwstr>
      </vt:variant>
      <vt:variant>
        <vt:i4>1769528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_Toc269479470</vt:lpwstr>
      </vt:variant>
      <vt:variant>
        <vt:i4>1703992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_Toc269479469</vt:lpwstr>
      </vt:variant>
      <vt:variant>
        <vt:i4>1703992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_Toc269479468</vt:lpwstr>
      </vt:variant>
      <vt:variant>
        <vt:i4>1703992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_Toc269479467</vt:lpwstr>
      </vt:variant>
      <vt:variant>
        <vt:i4>1703992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_Toc269479466</vt:lpwstr>
      </vt:variant>
      <vt:variant>
        <vt:i4>1703992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_Toc269479465</vt:lpwstr>
      </vt:variant>
      <vt:variant>
        <vt:i4>1703992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_Toc269479464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_Toc269479463</vt:lpwstr>
      </vt:variant>
      <vt:variant>
        <vt:i4>1703992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_Toc269479462</vt:lpwstr>
      </vt:variant>
      <vt:variant>
        <vt:i4>1703992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_Toc269479461</vt:lpwstr>
      </vt:variant>
      <vt:variant>
        <vt:i4>1703992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_Toc269479460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_Toc269479459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_Toc269479458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_Toc269479457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_Toc269479456</vt:lpwstr>
      </vt:variant>
      <vt:variant>
        <vt:i4>1638456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_Toc269479455</vt:lpwstr>
      </vt:variant>
      <vt:variant>
        <vt:i4>1638456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_Toc269479454</vt:lpwstr>
      </vt:variant>
      <vt:variant>
        <vt:i4>1638456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_Toc269479453</vt:lpwstr>
      </vt:variant>
      <vt:variant>
        <vt:i4>1638456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_Toc269479452</vt:lpwstr>
      </vt:variant>
      <vt:variant>
        <vt:i4>1638456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_Toc269479451</vt:lpwstr>
      </vt:variant>
      <vt:variant>
        <vt:i4>1638456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_Toc269479450</vt:lpwstr>
      </vt:variant>
      <vt:variant>
        <vt:i4>1572920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_Toc269479449</vt:lpwstr>
      </vt:variant>
      <vt:variant>
        <vt:i4>1572920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_Toc269479448</vt:lpwstr>
      </vt:variant>
      <vt:variant>
        <vt:i4>1572920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_Toc269479447</vt:lpwstr>
      </vt:variant>
      <vt:variant>
        <vt:i4>1572920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_Toc269479446</vt:lpwstr>
      </vt:variant>
      <vt:variant>
        <vt:i4>1572920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_Toc269479445</vt:lpwstr>
      </vt:variant>
      <vt:variant>
        <vt:i4>1572920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_Toc269479444</vt:lpwstr>
      </vt:variant>
      <vt:variant>
        <vt:i4>1572920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_Toc269479443</vt:lpwstr>
      </vt:variant>
      <vt:variant>
        <vt:i4>1572920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_Toc269479442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_Toc269479441</vt:lpwstr>
      </vt:variant>
      <vt:variant>
        <vt:i4>1572920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_Toc269479440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_Toc269479439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_Toc269479438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_Toc269479437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_Toc269479436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_Toc269479435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_Toc269479434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_Toc269479433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_Toc269479432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_Toc269479431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_Toc269479430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_Toc269479429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_Toc269479428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_Toc269479427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_Toc269479426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Oxebridge Totally Free ISO 9001 QMS Template Kit</dc:title>
  <dc:subject>ISO 9001:2015</dc:subject>
  <dc:creator>Oxebridge Quality Resources www.oxebridge.com; Oxebridge Quality Resources</dc:creator>
  <cp:keywords>ISO 9001:2015</cp:keywords>
  <dc:description>ISO 9001:2015</dc:description>
  <cp:lastModifiedBy>Christopher Paris</cp:lastModifiedBy>
  <cp:revision>4</cp:revision>
  <cp:lastPrinted>2009-07-23T19:07:00Z</cp:lastPrinted>
  <dcterms:created xsi:type="dcterms:W3CDTF">2016-07-27T17:44:00Z</dcterms:created>
  <dcterms:modified xsi:type="dcterms:W3CDTF">2016-07-27T17:56:00Z</dcterms:modified>
  <cp:category>ISO 9001:2015; ISO 9001 Procedures</cp:category>
</cp:coreProperties>
</file>